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7EE25E04"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3E6111">
        <w:rPr>
          <w:rFonts w:ascii="Arial" w:hAnsi="Arial" w:cs="Arial"/>
          <w:b/>
          <w:bCs/>
          <w:sz w:val="28"/>
          <w:lang w:eastAsia="zh-CN"/>
        </w:rPr>
        <w:t>7</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D5D41" w:rsidRPr="00DD5D41">
        <w:rPr>
          <w:rFonts w:ascii="Arial" w:eastAsia="MS Mincho" w:hAnsi="Arial" w:cs="Arial"/>
          <w:b/>
          <w:bCs/>
          <w:sz w:val="28"/>
          <w:lang w:eastAsia="ja-JP"/>
        </w:rPr>
        <w:t>R1-2111411</w:t>
      </w:r>
    </w:p>
    <w:p w14:paraId="4B25669D" w14:textId="34F1CF3A" w:rsidR="00842220" w:rsidRPr="00FC0A61" w:rsidRDefault="00F360A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w:t>
      </w:r>
      <w:r w:rsidR="002348EF" w:rsidRPr="00C839C5">
        <w:rPr>
          <w:rFonts w:ascii="Arial" w:hAnsi="Arial" w:cs="Arial"/>
          <w:b/>
          <w:bCs/>
          <w:sz w:val="28"/>
          <w:lang w:eastAsia="zh-CN"/>
        </w:rPr>
        <w:t>-</w:t>
      </w:r>
      <w:r>
        <w:rPr>
          <w:rFonts w:ascii="Arial" w:hAnsi="Arial" w:cs="Arial"/>
          <w:b/>
          <w:bCs/>
          <w:sz w:val="28"/>
          <w:lang w:eastAsia="zh-CN"/>
        </w:rPr>
        <w:t>M</w:t>
      </w:r>
      <w:r w:rsidR="002348EF" w:rsidRPr="00C839C5">
        <w:rPr>
          <w:rFonts w:ascii="Arial" w:hAnsi="Arial" w:cs="Arial"/>
          <w:b/>
          <w:bCs/>
          <w:sz w:val="28"/>
          <w:lang w:eastAsia="zh-CN"/>
        </w:rPr>
        <w:t>eeting</w:t>
      </w:r>
      <w:r w:rsidR="00341722">
        <w:rPr>
          <w:rFonts w:ascii="Arial" w:hAnsi="Arial" w:cs="Arial" w:hint="eastAsia"/>
          <w:b/>
          <w:bCs/>
          <w:sz w:val="28"/>
          <w:lang w:eastAsia="zh-CN"/>
        </w:rPr>
        <w:t xml:space="preserve">, </w:t>
      </w:r>
      <w:r w:rsidR="00B15768" w:rsidRPr="00B15768">
        <w:rPr>
          <w:rFonts w:ascii="Arial" w:hAnsi="Arial" w:cs="Arial"/>
          <w:b/>
          <w:bCs/>
          <w:sz w:val="28"/>
          <w:lang w:eastAsia="zh-CN"/>
        </w:rPr>
        <w:t>November 11th – 19th, 2021</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39EE4AA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F360AB">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DD38CA7"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3948DF">
        <w:rPr>
          <w:b/>
          <w:kern w:val="2"/>
          <w:sz w:val="24"/>
          <w:lang w:eastAsia="zh-CN"/>
        </w:rPr>
        <w:t>R</w:t>
      </w:r>
      <w:r w:rsidR="003948DF" w:rsidRPr="003948DF">
        <w:rPr>
          <w:b/>
          <w:kern w:val="2"/>
          <w:sz w:val="24"/>
          <w:lang w:eastAsia="zh-CN"/>
        </w:rPr>
        <w:t xml:space="preserve">emaining issues on </w:t>
      </w:r>
      <w:r w:rsidR="003948DF">
        <w:rPr>
          <w:b/>
          <w:kern w:val="2"/>
          <w:sz w:val="24"/>
          <w:lang w:eastAsia="zh-CN"/>
        </w:rPr>
        <w:t>t</w:t>
      </w:r>
      <w:r w:rsidR="002858D5">
        <w:rPr>
          <w:b/>
          <w:kern w:val="2"/>
          <w:sz w:val="24"/>
          <w:lang w:eastAsia="zh-CN"/>
        </w:rPr>
        <w:t>iming relationships</w:t>
      </w:r>
      <w:r w:rsidR="00760196">
        <w:rPr>
          <w:b/>
          <w:kern w:val="2"/>
          <w:sz w:val="24"/>
          <w:lang w:eastAsia="zh-CN"/>
        </w:rPr>
        <w:t xml:space="preserve"> </w:t>
      </w:r>
      <w:r w:rsidR="00F360AB">
        <w:rPr>
          <w:b/>
          <w:kern w:val="2"/>
          <w:sz w:val="24"/>
          <w:lang w:eastAsia="zh-CN"/>
        </w:rPr>
        <w:t xml:space="preserve">enhancement </w:t>
      </w:r>
      <w:r w:rsidR="00760196">
        <w:rPr>
          <w:b/>
          <w:kern w:val="2"/>
          <w:sz w:val="24"/>
          <w:lang w:eastAsia="zh-CN"/>
        </w:rPr>
        <w:t xml:space="preserve">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0CC2EE7F" w14:textId="294DAAB1" w:rsidR="00B21A6A" w:rsidRPr="004244A1" w:rsidRDefault="004D5BA8" w:rsidP="00B21A6A">
      <w:r>
        <w:rPr>
          <w:lang w:eastAsia="zh-CN"/>
        </w:rPr>
        <w:t>At RAN#</w:t>
      </w:r>
      <w:r w:rsidR="00F360AB">
        <w:rPr>
          <w:lang w:eastAsia="zh-CN"/>
        </w:rPr>
        <w:t>9</w:t>
      </w:r>
      <w:r w:rsidR="00B21A6A">
        <w:rPr>
          <w:lang w:eastAsia="zh-CN"/>
        </w:rPr>
        <w:t>2</w:t>
      </w:r>
      <w:r>
        <w:rPr>
          <w:lang w:eastAsia="zh-CN"/>
        </w:rPr>
        <w:t xml:space="preserve">e, </w:t>
      </w:r>
      <w:r w:rsidR="00F360AB">
        <w:rPr>
          <w:lang w:eastAsia="zh-CN"/>
        </w:rPr>
        <w:t xml:space="preserve">a work item was approved for </w:t>
      </w:r>
      <w:r w:rsidR="00B21A6A">
        <w:rPr>
          <w:lang w:eastAsia="zh-CN"/>
        </w:rPr>
        <w:t xml:space="preserve">IoT NTN [1]. In this work item description, RAN1 is charged with specifying </w:t>
      </w:r>
      <w:r w:rsidR="00B21A6A" w:rsidRPr="004244A1">
        <w:t>the following IoT NTN specific timing relationships enhancements according to Section 8 in TR 36.763</w:t>
      </w:r>
      <w:r w:rsidR="00B21A6A">
        <w:t xml:space="preserve"> [2]</w:t>
      </w:r>
      <w:r w:rsidR="00B21A6A" w:rsidRPr="004244A1">
        <w:t>:</w:t>
      </w:r>
    </w:p>
    <w:p w14:paraId="2D442F5E" w14:textId="4F19807B" w:rsidR="00B21A6A" w:rsidRPr="00667392" w:rsidRDefault="00B21A6A" w:rsidP="00063BE2">
      <w:pPr>
        <w:pStyle w:val="NoSpacing"/>
        <w:ind w:left="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BD9E997" w14:textId="2A2231CC" w:rsidR="00B21A6A" w:rsidRDefault="00B21A6A" w:rsidP="00063BE2">
      <w:pPr>
        <w:pStyle w:val="NoSpacing"/>
        <w:ind w:left="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7D640AF8" w14:textId="1FB4B199" w:rsidR="00063BE2" w:rsidRDefault="00B21A6A" w:rsidP="00063BE2">
      <w:r>
        <w:t>-</w:t>
      </w:r>
      <w:r>
        <w:tab/>
      </w:r>
      <w:proofErr w:type="spellStart"/>
      <w:r w:rsidRPr="00E22FE0">
        <w:t>Signalling</w:t>
      </w:r>
      <w:proofErr w:type="spellEnd"/>
      <w:r w:rsidRPr="00E22FE0">
        <w:t xml:space="preserve"> aspects in UE-specific TA maintenance and reporting, techniques to reduce the </w:t>
      </w:r>
      <w:proofErr w:type="spellStart"/>
      <w:r w:rsidRPr="00E22FE0">
        <w:t>signalling</w:t>
      </w:r>
      <w:proofErr w:type="spellEnd"/>
      <w:r w:rsidRPr="00E22FE0">
        <w:t xml:space="preserve"> load and determination of the UE-specific TA.</w:t>
      </w:r>
      <w:r w:rsidR="00063BE2">
        <w:t xml:space="preserve"> </w:t>
      </w:r>
    </w:p>
    <w:p w14:paraId="455158E3" w14:textId="63C1E6C5" w:rsidR="003948DF" w:rsidRDefault="00EA1D44" w:rsidP="003948DF">
      <w:r>
        <w:rPr>
          <w:lang w:eastAsia="zh-CN"/>
        </w:rPr>
        <w:t>At RAN1#106</w:t>
      </w:r>
      <w:r w:rsidR="00992CC4">
        <w:rPr>
          <w:lang w:eastAsia="zh-CN"/>
        </w:rPr>
        <w:t>bis-</w:t>
      </w:r>
      <w:r>
        <w:rPr>
          <w:lang w:eastAsia="zh-CN"/>
        </w:rPr>
        <w:t xml:space="preserve">e, </w:t>
      </w:r>
      <w:r w:rsidR="00992CC4">
        <w:rPr>
          <w:lang w:eastAsia="zh-CN"/>
        </w:rPr>
        <w:t xml:space="preserve">the following </w:t>
      </w:r>
      <w:r>
        <w:rPr>
          <w:lang w:eastAsia="zh-CN"/>
        </w:rPr>
        <w:t xml:space="preserve">agreements were reached </w:t>
      </w:r>
      <w:r w:rsidR="003948DF">
        <w:rPr>
          <w:lang w:eastAsia="zh-CN"/>
        </w:rPr>
        <w:t>on</w:t>
      </w:r>
      <w:r>
        <w:rPr>
          <w:lang w:eastAsia="zh-CN"/>
        </w:rPr>
        <w:t xml:space="preserve"> NB-IoT and </w:t>
      </w:r>
      <w:proofErr w:type="spellStart"/>
      <w:r>
        <w:rPr>
          <w:lang w:eastAsia="zh-CN"/>
        </w:rPr>
        <w:t>eMTC</w:t>
      </w:r>
      <w:proofErr w:type="spellEnd"/>
      <w:r>
        <w:rPr>
          <w:lang w:eastAsia="zh-CN"/>
        </w:rPr>
        <w:t xml:space="preserve"> timing relationships</w:t>
      </w:r>
      <w:r>
        <w:t xml:space="preserve">. </w:t>
      </w:r>
    </w:p>
    <w:p w14:paraId="5CCBDBFF" w14:textId="77777777" w:rsidR="003948DF" w:rsidRDefault="003948DF" w:rsidP="003948DF">
      <w:pPr>
        <w:rPr>
          <w:lang w:eastAsia="x-none"/>
        </w:rPr>
      </w:pPr>
      <w:r w:rsidRPr="00E6560F">
        <w:rPr>
          <w:highlight w:val="green"/>
          <w:lang w:eastAsia="x-none"/>
        </w:rPr>
        <w:t>Agreement:</w:t>
      </w:r>
    </w:p>
    <w:p w14:paraId="13C3B62F" w14:textId="77777777" w:rsidR="003948DF" w:rsidRDefault="003948DF" w:rsidP="003948DF">
      <w:pPr>
        <w:rPr>
          <w:lang w:eastAsia="x-none"/>
        </w:rPr>
      </w:pPr>
      <w:r>
        <w:rPr>
          <w:lang w:eastAsia="x-none"/>
        </w:rPr>
        <w:t>Support PUR at least for GEO-based IoT NTN in Rel-17</w:t>
      </w:r>
    </w:p>
    <w:p w14:paraId="2A872A89" w14:textId="20BF1139" w:rsidR="003948DF" w:rsidRDefault="003948DF" w:rsidP="003948DF">
      <w:pPr>
        <w:rPr>
          <w:lang w:eastAsia="x-none"/>
        </w:rPr>
      </w:pPr>
      <w:r>
        <w:rPr>
          <w:lang w:eastAsia="x-none"/>
        </w:rPr>
        <w:t>FFS: for NGSO-based IoT NTN.</w:t>
      </w:r>
    </w:p>
    <w:p w14:paraId="1E77966C" w14:textId="77777777" w:rsidR="003948DF" w:rsidRDefault="003948DF" w:rsidP="003948DF">
      <w:pPr>
        <w:rPr>
          <w:lang w:eastAsia="x-none"/>
        </w:rPr>
      </w:pPr>
      <w:r w:rsidRPr="00160F05">
        <w:rPr>
          <w:highlight w:val="green"/>
          <w:lang w:eastAsia="x-none"/>
        </w:rPr>
        <w:t>Agreement:</w:t>
      </w:r>
    </w:p>
    <w:p w14:paraId="6CD2801A" w14:textId="77777777" w:rsidR="003948DF" w:rsidRDefault="003948DF" w:rsidP="003948DF">
      <w:r>
        <w:t>NPDCCH monitoring restrictions have been identified for further checking to see if changes for NB-IoT need to be made for the following cases:</w:t>
      </w:r>
    </w:p>
    <w:p w14:paraId="6289619A" w14:textId="77777777" w:rsidR="003948DF" w:rsidRPr="00EB6FA4" w:rsidRDefault="003948DF" w:rsidP="003948DF">
      <w:pPr>
        <w:pStyle w:val="ListParagraph"/>
        <w:numPr>
          <w:ilvl w:val="0"/>
          <w:numId w:val="32"/>
        </w:numPr>
        <w:overflowPunct w:val="0"/>
        <w:autoSpaceDE w:val="0"/>
        <w:autoSpaceDN w:val="0"/>
        <w:adjustRightInd w:val="0"/>
        <w:snapToGrid w:val="0"/>
        <w:rPr>
          <w:rFonts w:ascii="Times New Roman" w:hAnsi="Times New Roman"/>
        </w:rPr>
      </w:pPr>
      <w:r w:rsidRPr="00EB6FA4">
        <w:rPr>
          <w:rFonts w:ascii="Times New Roman" w:hAnsi="Times New Roman"/>
        </w:rPr>
        <w:t>case 1: MTBG NPUSCH</w:t>
      </w:r>
    </w:p>
    <w:p w14:paraId="4B722A09" w14:textId="77777777" w:rsidR="003948DF" w:rsidRPr="00EB6FA4" w:rsidRDefault="003948DF" w:rsidP="003948DF">
      <w:pPr>
        <w:pStyle w:val="ListParagraph"/>
        <w:numPr>
          <w:ilvl w:val="0"/>
          <w:numId w:val="32"/>
        </w:numPr>
        <w:overflowPunct w:val="0"/>
        <w:autoSpaceDE w:val="0"/>
        <w:autoSpaceDN w:val="0"/>
        <w:adjustRightInd w:val="0"/>
        <w:snapToGrid w:val="0"/>
        <w:rPr>
          <w:rFonts w:ascii="Times New Roman" w:hAnsi="Times New Roman"/>
        </w:rPr>
      </w:pPr>
      <w:r w:rsidRPr="002C67F4">
        <w:rPr>
          <w:rFonts w:ascii="Times New Roman" w:eastAsia="Times New Roman" w:hAnsi="Times New Roman"/>
        </w:rPr>
        <w:t>case 2: 2 NPUSCH HARQ processes scheduled</w:t>
      </w:r>
    </w:p>
    <w:p w14:paraId="75C373FB"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3: long single NPUSCH when MTBG or 2HARQ configured</w:t>
      </w:r>
    </w:p>
    <w:p w14:paraId="664566C8"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4: single NPUSCH scheduled by DCI format N0 or RAR</w:t>
      </w:r>
    </w:p>
    <w:p w14:paraId="0F84F794"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5: NPUSCH format 2 in response to DCI format N1</w:t>
      </w:r>
    </w:p>
    <w:p w14:paraId="7B1A91F9"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6: NPRACH in response to PDCCH order</w:t>
      </w:r>
    </w:p>
    <w:p w14:paraId="455EF9EA"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7: NPUSCH with same HARQ process when 2 HARQ configured</w:t>
      </w:r>
    </w:p>
    <w:p w14:paraId="67A6549B"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8: subframes after NPUSCH processing</w:t>
      </w:r>
    </w:p>
    <w:p w14:paraId="7308ACE6"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9: subframes after NPUSCH carrying Msg3</w:t>
      </w:r>
    </w:p>
    <w:p w14:paraId="2EDDF7A8"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10: NPRACH for SR for long NPRACH transmissions</w:t>
      </w:r>
    </w:p>
    <w:p w14:paraId="1472A480"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case 11: NPRACH for SR for short NPRACH transmissions</w:t>
      </w:r>
    </w:p>
    <w:p w14:paraId="0D1D8C62"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FFS: the changes in each case</w:t>
      </w:r>
    </w:p>
    <w:p w14:paraId="419F42D3" w14:textId="77777777" w:rsidR="003948DF" w:rsidRPr="002C67F4" w:rsidRDefault="003948DF" w:rsidP="003948DF">
      <w:pPr>
        <w:pStyle w:val="ListParagraph"/>
        <w:numPr>
          <w:ilvl w:val="0"/>
          <w:numId w:val="32"/>
        </w:numPr>
        <w:overflowPunct w:val="0"/>
        <w:autoSpaceDE w:val="0"/>
        <w:autoSpaceDN w:val="0"/>
        <w:adjustRightInd w:val="0"/>
        <w:snapToGrid w:val="0"/>
        <w:rPr>
          <w:rFonts w:ascii="Times New Roman" w:eastAsia="Times New Roman" w:hAnsi="Times New Roman"/>
        </w:rPr>
      </w:pPr>
      <w:r w:rsidRPr="002C67F4">
        <w:rPr>
          <w:rFonts w:ascii="Times New Roman" w:eastAsia="Times New Roman" w:hAnsi="Times New Roman"/>
        </w:rPr>
        <w:t>FFS: additional cases</w:t>
      </w:r>
    </w:p>
    <w:p w14:paraId="39A0169D" w14:textId="7C5C63C8" w:rsidR="003948DF" w:rsidRDefault="003948DF" w:rsidP="00D176D9">
      <w:pPr>
        <w:rPr>
          <w:lang w:eastAsia="zh-CN"/>
        </w:rPr>
      </w:pPr>
    </w:p>
    <w:p w14:paraId="1FE2F84D" w14:textId="031C37ED" w:rsidR="003948DF" w:rsidRDefault="001A5E7B" w:rsidP="003948DF">
      <w:r>
        <w:rPr>
          <w:lang w:eastAsia="zh-CN"/>
        </w:rPr>
        <w:t>In this contribution, we will discuss the following issues</w:t>
      </w:r>
      <w:r w:rsidR="003948DF">
        <w:t>:</w:t>
      </w:r>
    </w:p>
    <w:p w14:paraId="752BFE14" w14:textId="54AA9580" w:rsidR="001A5E7B" w:rsidRDefault="00E0012F" w:rsidP="002E15CE">
      <w:pPr>
        <w:pStyle w:val="ListParagraph"/>
        <w:numPr>
          <w:ilvl w:val="0"/>
          <w:numId w:val="33"/>
        </w:numPr>
        <w:contextualSpacing/>
        <w:jc w:val="left"/>
      </w:pPr>
      <w:r>
        <w:t xml:space="preserve">Designating of subframes that shall be subjected to NPDCCH monitoring restrictions </w:t>
      </w:r>
      <w:r w:rsidR="003948DF">
        <w:t>for each of the</w:t>
      </w:r>
      <w:r>
        <w:t xml:space="preserve"> identified</w:t>
      </w:r>
      <w:r w:rsidR="003948DF">
        <w:t xml:space="preserve"> “cases” in NB-IOT</w:t>
      </w:r>
      <w:r w:rsidR="001A5E7B">
        <w:t xml:space="preserve">. </w:t>
      </w:r>
    </w:p>
    <w:p w14:paraId="7955A6FE" w14:textId="455E579C" w:rsidR="003948DF" w:rsidRDefault="003948DF" w:rsidP="003948DF">
      <w:pPr>
        <w:pStyle w:val="ListParagraph"/>
        <w:numPr>
          <w:ilvl w:val="0"/>
          <w:numId w:val="33"/>
        </w:numPr>
        <w:contextualSpacing/>
        <w:jc w:val="left"/>
      </w:pPr>
      <w:r>
        <w:t>UE TA reporting: report</w:t>
      </w:r>
      <w:r w:rsidR="001A5E7B">
        <w:t>ing of</w:t>
      </w:r>
      <w:r>
        <w:t xml:space="preserve"> UE location as well as UE TA. The choice of which is reported can be configured by the </w:t>
      </w:r>
      <w:proofErr w:type="spellStart"/>
      <w:r>
        <w:t>eNB</w:t>
      </w:r>
      <w:proofErr w:type="spellEnd"/>
    </w:p>
    <w:p w14:paraId="68CB37A8" w14:textId="62D24AC6" w:rsidR="003948DF" w:rsidRDefault="003948DF" w:rsidP="001A5E7B">
      <w:pPr>
        <w:pStyle w:val="ListParagraph"/>
        <w:numPr>
          <w:ilvl w:val="1"/>
          <w:numId w:val="33"/>
        </w:numPr>
        <w:contextualSpacing/>
        <w:jc w:val="left"/>
      </w:pPr>
      <w:r>
        <w:t xml:space="preserve">Issues of granularity / frequency </w:t>
      </w:r>
      <w:proofErr w:type="spellStart"/>
      <w:r>
        <w:t>etc</w:t>
      </w:r>
      <w:proofErr w:type="spellEnd"/>
      <w:r>
        <w:t xml:space="preserve"> of TA reporting </w:t>
      </w:r>
      <w:proofErr w:type="spellStart"/>
      <w:r>
        <w:t>etc</w:t>
      </w:r>
      <w:proofErr w:type="spellEnd"/>
    </w:p>
    <w:p w14:paraId="7F6CEBF5" w14:textId="77777777" w:rsidR="003948DF" w:rsidRDefault="003948DF" w:rsidP="00D176D9">
      <w:pPr>
        <w:rPr>
          <w:lang w:eastAsia="zh-CN"/>
        </w:rPr>
      </w:pPr>
    </w:p>
    <w:p w14:paraId="008CFD3E" w14:textId="1C8D6B53" w:rsidR="005943CA" w:rsidRPr="00EF2393" w:rsidRDefault="00B7431E" w:rsidP="00D7768E">
      <w:pPr>
        <w:pStyle w:val="Heading1"/>
        <w:rPr>
          <w:i/>
          <w:iCs/>
        </w:rPr>
      </w:pPr>
      <w:bookmarkStart w:id="1" w:name="_Hlk63428477"/>
      <w:r>
        <w:rPr>
          <w:i/>
          <w:iCs/>
        </w:rPr>
        <w:lastRenderedPageBreak/>
        <w:t>NPDCCH Monitoring Restrictions for NB-IoT</w:t>
      </w:r>
    </w:p>
    <w:p w14:paraId="034814E3" w14:textId="54710079" w:rsidR="00BC7251" w:rsidRDefault="00CA685D" w:rsidP="00B7431E">
      <w:r>
        <w:rPr>
          <w:noProof/>
        </w:rPr>
        <w:t xml:space="preserve">In </w:t>
      </w:r>
      <w:r w:rsidR="00BC7251">
        <w:rPr>
          <w:noProof/>
        </w:rPr>
        <w:t xml:space="preserve">NB-IoT </w:t>
      </w:r>
      <w:r>
        <w:rPr>
          <w:noProof/>
        </w:rPr>
        <w:t xml:space="preserve">UEs </w:t>
      </w:r>
      <w:r w:rsidR="00BC7251">
        <w:rPr>
          <w:noProof/>
        </w:rPr>
        <w:t>are expected to operate in half-duplex mode</w:t>
      </w:r>
      <w:r w:rsidR="00473408">
        <w:rPr>
          <w:noProof/>
        </w:rPr>
        <w:t xml:space="preserve"> and the UE </w:t>
      </w:r>
      <w:r w:rsidR="003313BB">
        <w:rPr>
          <w:noProof/>
        </w:rPr>
        <w:t>is assumed to have such limited processing capability that it is incapable of</w:t>
      </w:r>
      <w:r w:rsidR="00DD2884">
        <w:rPr>
          <w:noProof/>
        </w:rPr>
        <w:t xml:space="preserve"> monitoring PDCCH at the same time as processing </w:t>
      </w:r>
      <w:r w:rsidR="00955814">
        <w:rPr>
          <w:noProof/>
        </w:rPr>
        <w:t>UL channels</w:t>
      </w:r>
      <w:r w:rsidR="00BC7251">
        <w:rPr>
          <w:noProof/>
        </w:rPr>
        <w:t xml:space="preserve">. </w:t>
      </w:r>
      <w:r w:rsidR="00BC7251">
        <w:t xml:space="preserve"> </w:t>
      </w:r>
      <w:r w:rsidR="00BC7251" w:rsidRPr="00743E3D">
        <w:t xml:space="preserve">This means that </w:t>
      </w:r>
      <w:r w:rsidR="00D35A96" w:rsidRPr="00501310">
        <w:t xml:space="preserve">a </w:t>
      </w:r>
      <w:r w:rsidR="00BC7251" w:rsidRPr="00501310">
        <w:t>UE often needs some time to retune to the DL after it has been transmitting on the UL.</w:t>
      </w:r>
      <w:r w:rsidR="00BC7251">
        <w:t xml:space="preserve"> Equivalently, a UE also needs time to retune to the UL</w:t>
      </w:r>
      <w:r w:rsidR="00842913">
        <w:t xml:space="preserve"> and prepare </w:t>
      </w:r>
      <w:r w:rsidR="0019386C">
        <w:t>the UL transmission</w:t>
      </w:r>
      <w:r w:rsidR="00BC7251">
        <w:t xml:space="preserve"> after it stops receiving on the DL. For this reason, Rel16 specifications (</w:t>
      </w:r>
      <w:proofErr w:type="gramStart"/>
      <w:r w:rsidR="00BC7251">
        <w:t>e.g.</w:t>
      </w:r>
      <w:proofErr w:type="gramEnd"/>
      <w:r w:rsidR="00BC7251">
        <w:t xml:space="preserve"> section 16.6 of TS36.213) ensure that, as well as during the UL transmission itself, a couple of subframes before the start and end of the UL transmission, the UE is not required to receive any NPDCCH carried in the corresponding DL subframes. </w:t>
      </w:r>
    </w:p>
    <w:p w14:paraId="08E7736A" w14:textId="0E2C004C" w:rsidR="00CA685D" w:rsidRDefault="00CA685D" w:rsidP="00B7431E">
      <w:r>
        <w:t xml:space="preserve">In IoT NTN, RAN1 has agreed in many cases of UL transmissions that an UL transmission scheduled in subframe </w:t>
      </w:r>
      <w:proofErr w:type="spellStart"/>
      <w:r w:rsidRPr="00CA685D">
        <w:rPr>
          <w:i/>
          <w:iCs/>
        </w:rPr>
        <w:t>n+k</w:t>
      </w:r>
      <w:proofErr w:type="spellEnd"/>
      <w:r>
        <w:t xml:space="preserve"> would effectively be delayed by </w:t>
      </w:r>
      <w:proofErr w:type="spellStart"/>
      <w:r w:rsidRPr="00CA685D">
        <w:rPr>
          <w:i/>
          <w:iCs/>
        </w:rPr>
        <w:t>Koffset</w:t>
      </w:r>
      <w:proofErr w:type="spellEnd"/>
      <w:r>
        <w:t xml:space="preserve"> so that it is seemingly </w:t>
      </w:r>
      <w:r w:rsidR="00241945">
        <w:t>transmitted</w:t>
      </w:r>
      <w:r>
        <w:t xml:space="preserve"> in subframe </w:t>
      </w:r>
      <w:proofErr w:type="spellStart"/>
      <w:r w:rsidRPr="00CA685D">
        <w:rPr>
          <w:i/>
          <w:iCs/>
        </w:rPr>
        <w:t>n+k+Koffset</w:t>
      </w:r>
      <w:proofErr w:type="spellEnd"/>
      <w:r>
        <w:t xml:space="preserve"> because of the large TA. </w:t>
      </w:r>
      <w:r w:rsidR="00241945">
        <w:t>Such</w:t>
      </w:r>
      <w:r>
        <w:t xml:space="preserve"> UL transmission is timing advanced by TA</w:t>
      </w:r>
      <w:r w:rsidR="00241945">
        <w:t xml:space="preserve"> in transmission</w:t>
      </w:r>
      <w:r>
        <w:t xml:space="preserve">, </w:t>
      </w:r>
      <w:r w:rsidR="00241945">
        <w:t xml:space="preserve">such that </w:t>
      </w:r>
      <w:r>
        <w:t xml:space="preserve">the UL transmission would </w:t>
      </w:r>
      <w:proofErr w:type="gramStart"/>
      <w:r w:rsidR="00241945">
        <w:t>actually</w:t>
      </w:r>
      <w:r>
        <w:t xml:space="preserve"> be</w:t>
      </w:r>
      <w:proofErr w:type="gramEnd"/>
      <w:r>
        <w:t xml:space="preserve"> transmitted in subframe </w:t>
      </w:r>
      <w:proofErr w:type="spellStart"/>
      <w:r w:rsidRPr="00CA685D">
        <w:rPr>
          <w:i/>
          <w:iCs/>
        </w:rPr>
        <w:t>n+k+Koffset</w:t>
      </w:r>
      <w:r>
        <w:rPr>
          <w:i/>
          <w:iCs/>
        </w:rPr>
        <w:t>-TA</w:t>
      </w:r>
      <w:proofErr w:type="spellEnd"/>
      <w:r>
        <w:rPr>
          <w:i/>
          <w:iCs/>
        </w:rPr>
        <w:t>.</w:t>
      </w:r>
      <w:r>
        <w:t xml:space="preserve"> It is </w:t>
      </w:r>
      <w:r w:rsidR="00CA4792">
        <w:t>before</w:t>
      </w:r>
      <w:r w:rsidR="00241945">
        <w:t>, during and after</w:t>
      </w:r>
      <w:r>
        <w:t xml:space="preserve"> the DL subframes that coincide with this actual </w:t>
      </w:r>
      <w:r w:rsidR="00D96AB6">
        <w:t xml:space="preserve">UL </w:t>
      </w:r>
      <w:r>
        <w:t>transmission subframe that NPDCCH monitoring restrictions should apply.</w:t>
      </w:r>
    </w:p>
    <w:p w14:paraId="38357A7C" w14:textId="29A43470" w:rsidR="00885F81" w:rsidRDefault="00885F81" w:rsidP="00B7431E">
      <w:r>
        <w:t>In RAN1#106bis, this issue was discussed extensively an</w:t>
      </w:r>
      <w:r w:rsidR="00F970DF">
        <w:t>d</w:t>
      </w:r>
      <w:r>
        <w:t xml:space="preserve"> the following cases as per the agreement </w:t>
      </w:r>
      <w:r w:rsidR="00D96AB6">
        <w:t xml:space="preserve">were </w:t>
      </w:r>
      <w:r>
        <w:t>identified for further study and decision at this meeting</w:t>
      </w:r>
      <w:r w:rsidR="00400E57">
        <w:t xml:space="preserve">. We discuss each case below and propose </w:t>
      </w:r>
      <w:proofErr w:type="gramStart"/>
      <w:r w:rsidR="00400E57">
        <w:t>whether or not</w:t>
      </w:r>
      <w:proofErr w:type="gramEnd"/>
      <w:r w:rsidR="00400E57">
        <w:t xml:space="preserve"> the designation of subframes with NPDCCH monitoring restrictions needs changing.</w:t>
      </w:r>
    </w:p>
    <w:p w14:paraId="40E92AAB" w14:textId="77777777" w:rsidR="00F970DF" w:rsidRDefault="00F970DF" w:rsidP="00885F81"/>
    <w:p w14:paraId="1F103FB9" w14:textId="790550C4" w:rsidR="00F970DF" w:rsidRDefault="00F970DF" w:rsidP="00F970DF">
      <w:pPr>
        <w:pStyle w:val="Heading2"/>
      </w:pPr>
      <w:r>
        <w:t>Cases 1 - 4</w:t>
      </w:r>
    </w:p>
    <w:p w14:paraId="08177CE7" w14:textId="4C16BAFC" w:rsidR="00885F81" w:rsidRPr="001A7C01" w:rsidRDefault="00885F81" w:rsidP="00885F81">
      <w:r w:rsidRPr="001A7C01">
        <w:t xml:space="preserve">For a NPDCCH UE-specific search space, if a NB-IoT UE is configured with higher layer parameter </w:t>
      </w:r>
      <w:proofErr w:type="spellStart"/>
      <w:r w:rsidRPr="001A7C01">
        <w:rPr>
          <w:i/>
        </w:rPr>
        <w:t>twoHARQ-ProcessesConfig</w:t>
      </w:r>
      <w:proofErr w:type="spellEnd"/>
      <w:r w:rsidRPr="00D21977">
        <w:t xml:space="preserve"> </w:t>
      </w:r>
      <w:r>
        <w:t xml:space="preserve">or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14:paraId="081F5874" w14:textId="77777777" w:rsidR="00885F81" w:rsidRPr="000D11C8" w:rsidRDefault="00885F81" w:rsidP="00885F81">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0D11C8">
        <w:t xml:space="preserve">subframe </w:t>
      </w:r>
      <w:r w:rsidRPr="000D11C8">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0D11C8">
        <w:t xml:space="preserve">subframe </w:t>
      </w:r>
      <w:r w:rsidRPr="000D11C8">
        <w:rPr>
          <w:i/>
        </w:rPr>
        <w:t>n+k-2</w:t>
      </w:r>
      <w:r w:rsidRPr="000D11C8">
        <w:t xml:space="preserve"> to subframe </w:t>
      </w:r>
      <w:r w:rsidRPr="000D11C8">
        <w:rPr>
          <w:i/>
        </w:rPr>
        <w:t>n+k-1</w:t>
      </w:r>
      <w:r w:rsidRPr="000D11C8">
        <w:t>; and</w:t>
      </w:r>
    </w:p>
    <w:p w14:paraId="359105E6" w14:textId="77777777" w:rsidR="00885F81" w:rsidRPr="000D11C8" w:rsidRDefault="00885F81" w:rsidP="00885F81">
      <w:pPr>
        <w:pStyle w:val="B1"/>
        <w:numPr>
          <w:ilvl w:val="0"/>
          <w:numId w:val="35"/>
        </w:numPr>
        <w:overflowPunct w:val="0"/>
        <w:autoSpaceDE w:val="0"/>
        <w:autoSpaceDN w:val="0"/>
        <w:adjustRightInd w:val="0"/>
        <w:ind w:left="576" w:hanging="288"/>
        <w:textAlignment w:val="baseline"/>
      </w:pPr>
      <w:r w:rsidRPr="000D11C8">
        <w:rPr>
          <w:rFonts w:eastAsiaTheme="minorEastAsia"/>
          <w:lang w:eastAsia="zh-CN"/>
        </w:rPr>
        <w:t>[</w:t>
      </w:r>
      <w:r w:rsidRPr="000D11C8">
        <w:rPr>
          <w:rFonts w:eastAsiaTheme="minorEastAsia"/>
          <w:color w:val="FF0000"/>
          <w:lang w:eastAsia="zh-CN"/>
        </w:rPr>
        <w:t>case 3: long single NPUSCH when MTBG or 2HARQ configured</w:t>
      </w:r>
      <w:r w:rsidRPr="000D11C8">
        <w:rPr>
          <w:rFonts w:eastAsiaTheme="minorEastAsia"/>
          <w:lang w:eastAsia="zh-CN"/>
        </w:rPr>
        <w:t xml:space="preserve">] </w:t>
      </w:r>
      <w:r w:rsidRPr="000D11C8">
        <w:t xml:space="preserve">the UE does not expect to receive a DCI Format N0 before subframe </w:t>
      </w:r>
      <w:r w:rsidRPr="000D11C8">
        <w:rPr>
          <w:i/>
        </w:rPr>
        <w:t>n</w:t>
      </w:r>
      <w:r w:rsidRPr="000D11C8">
        <w:t>+</w:t>
      </w:r>
      <w:r w:rsidRPr="000D11C8">
        <w:rPr>
          <w:i/>
        </w:rPr>
        <w:t>k</w:t>
      </w:r>
      <w:r w:rsidRPr="000D11C8">
        <w:t xml:space="preserve">-2 for which the corresponding NPUSCH format 1 transmission ends later than subframe </w:t>
      </w:r>
      <w:r w:rsidRPr="000D11C8">
        <w:rPr>
          <w:i/>
        </w:rPr>
        <w:t>n</w:t>
      </w:r>
      <w:r w:rsidRPr="000D11C8">
        <w:t>+</w:t>
      </w:r>
      <w:r w:rsidRPr="000D11C8">
        <w:rPr>
          <w:i/>
        </w:rPr>
        <w:t>k</w:t>
      </w:r>
      <w:r w:rsidRPr="000D11C8">
        <w:t xml:space="preserve">+255 if the corresponding </w:t>
      </w:r>
      <w:r w:rsidRPr="000D11C8">
        <w:rPr>
          <w:rFonts w:eastAsiaTheme="minorEastAsia"/>
          <w:lang w:eastAsia="zh-CN"/>
        </w:rPr>
        <w:t>NPDCCH with DCI format N0 schedules one transport block</w:t>
      </w:r>
      <w:r w:rsidRPr="000D11C8">
        <w:t xml:space="preserve">. </w:t>
      </w:r>
    </w:p>
    <w:p w14:paraId="179C2565" w14:textId="77777777" w:rsidR="00885F81" w:rsidRPr="000D11C8" w:rsidRDefault="00885F81" w:rsidP="00885F81">
      <w:pPr>
        <w:pStyle w:val="B1"/>
      </w:pPr>
      <w:r w:rsidRPr="000D11C8">
        <w:t>-</w:t>
      </w:r>
      <w:r w:rsidRPr="000D11C8">
        <w:tab/>
        <w:t xml:space="preserve">for TDD, and if the corresponding NPUSCH </w:t>
      </w:r>
      <w:r w:rsidRPr="000D11C8">
        <w:rPr>
          <w:rFonts w:hint="eastAsia"/>
        </w:rPr>
        <w:t>format</w:t>
      </w:r>
      <w:r w:rsidRPr="000D11C8">
        <w:t>1</w:t>
      </w:r>
      <w:r w:rsidRPr="000D11C8">
        <w:rPr>
          <w:rFonts w:hint="eastAsia"/>
        </w:rPr>
        <w:t xml:space="preserve"> </w:t>
      </w:r>
      <w:r w:rsidRPr="000D11C8">
        <w:t xml:space="preserve">transmission ends in </w:t>
      </w:r>
      <w:r w:rsidRPr="000D11C8">
        <w:rPr>
          <w:rFonts w:hint="eastAsia"/>
          <w:lang w:eastAsia="zh-CN"/>
        </w:rPr>
        <w:t xml:space="preserve">subframe </w:t>
      </w:r>
      <w:proofErr w:type="spellStart"/>
      <w:r w:rsidRPr="000D11C8">
        <w:rPr>
          <w:i/>
        </w:rPr>
        <w:t>n+m</w:t>
      </w:r>
      <w:proofErr w:type="spellEnd"/>
      <w:r w:rsidRPr="000D11C8">
        <w:t xml:space="preserve">, the UE is not required to monitor NPDCCH in any subframe starting from subframe </w:t>
      </w:r>
      <w:r w:rsidRPr="000D11C8">
        <w:rPr>
          <w:i/>
        </w:rPr>
        <w:t>n+ k</w:t>
      </w:r>
      <w:r w:rsidRPr="000D11C8">
        <w:t xml:space="preserve"> to subframe </w:t>
      </w:r>
      <w:r w:rsidRPr="000D11C8">
        <w:rPr>
          <w:i/>
        </w:rPr>
        <w:t>n+m-1</w:t>
      </w:r>
      <w:r w:rsidRPr="000D11C8">
        <w:t>.</w:t>
      </w:r>
    </w:p>
    <w:p w14:paraId="5C534930" w14:textId="77777777" w:rsidR="00885F81" w:rsidRPr="000D11C8" w:rsidRDefault="00885F81" w:rsidP="00885F81">
      <w:r w:rsidRPr="000D11C8">
        <w:t>otherwise</w:t>
      </w:r>
    </w:p>
    <w:p w14:paraId="022BAACE" w14:textId="1841E454" w:rsidR="00885F81" w:rsidRDefault="00885F81" w:rsidP="00885F81">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4: single NPUSCH scheduled by DCI format N0 or RAR</w:t>
      </w:r>
      <w:r w:rsidRPr="000D11C8">
        <w:rPr>
          <w:rFonts w:eastAsiaTheme="minorEastAsia"/>
          <w:lang w:eastAsia="zh-CN"/>
        </w:rPr>
        <w:t>]</w:t>
      </w:r>
      <w:r w:rsidR="00293A4A" w:rsidRPr="000D11C8">
        <w:rPr>
          <w:rFonts w:eastAsiaTheme="minorEastAsia"/>
          <w:lang w:eastAsia="zh-CN"/>
        </w:rPr>
        <w:t xml:space="preserve"> </w:t>
      </w:r>
      <w:r w:rsidRPr="000D11C8">
        <w:t xml:space="preserve">if the NB-IoT UE detects NPDCCH with DCI Format N0 ending in subframe </w:t>
      </w:r>
      <w:r w:rsidRPr="000D11C8">
        <w:rPr>
          <w:i/>
        </w:rPr>
        <w:t>n</w:t>
      </w:r>
      <w:r w:rsidRPr="000D11C8">
        <w:t xml:space="preserve"> or receives a NPDSCH carrying a </w:t>
      </w:r>
      <w:proofErr w:type="gramStart"/>
      <w:r w:rsidRPr="000D11C8">
        <w:t>random access</w:t>
      </w:r>
      <w:proofErr w:type="gramEnd"/>
      <w:r w:rsidRPr="000D11C8">
        <w:t xml:space="preserve"> response grant ending in subframe </w:t>
      </w:r>
      <w:r w:rsidRPr="000D11C8">
        <w:rPr>
          <w:i/>
        </w:rPr>
        <w:t>n</w:t>
      </w:r>
      <w:r w:rsidRPr="000D11C8">
        <w:t xml:space="preserve">, and if the corresponding NPUSCH format 1 transmission starts from </w:t>
      </w:r>
      <w:proofErr w:type="spellStart"/>
      <w:r w:rsidRPr="000D11C8">
        <w:rPr>
          <w:i/>
        </w:rPr>
        <w:t>n+k</w:t>
      </w:r>
      <w:proofErr w:type="spellEnd"/>
      <w:r w:rsidRPr="000D11C8">
        <w:t xml:space="preserve">, the UE is not required to monitor NPDCCH in any subframe starting from subframe </w:t>
      </w:r>
      <w:r w:rsidRPr="000D11C8">
        <w:rPr>
          <w:i/>
        </w:rPr>
        <w:t>n+1</w:t>
      </w:r>
      <w:r w:rsidRPr="000D11C8">
        <w:t xml:space="preserve"> to subframe </w:t>
      </w:r>
      <w:r w:rsidRPr="000D11C8">
        <w:rPr>
          <w:i/>
        </w:rPr>
        <w:t>n+k-1</w:t>
      </w:r>
      <w:r w:rsidRPr="000D11C8">
        <w:t>.</w:t>
      </w:r>
      <w:r w:rsidRPr="001A7C01">
        <w:t xml:space="preserve"> </w:t>
      </w:r>
    </w:p>
    <w:p w14:paraId="604457AF" w14:textId="77777777" w:rsidR="00885F81" w:rsidRPr="001A7C01" w:rsidRDefault="00885F81" w:rsidP="00885F81">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w:t>
      </w:r>
      <w:proofErr w:type="gramStart"/>
      <w:r w:rsidRPr="00DA362E">
        <w:t>random access</w:t>
      </w:r>
      <w:proofErr w:type="gramEnd"/>
      <w:r w:rsidRPr="00DA362E">
        <w:t xml:space="preserve">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64863E26" w14:textId="2291BEE8" w:rsidR="00F970DF" w:rsidRDefault="00F970DF" w:rsidP="00F970DF">
      <w:pPr>
        <w:pStyle w:val="Heading3"/>
      </w:pPr>
      <w:r>
        <w:t xml:space="preserve">Cases 1 – 4: </w:t>
      </w:r>
      <w:r w:rsidR="006167A7">
        <w:t>Discussion</w:t>
      </w:r>
    </w:p>
    <w:p w14:paraId="52DC1C1E" w14:textId="49140B05" w:rsidR="00805778" w:rsidRDefault="00805778" w:rsidP="00805778">
      <w:pPr>
        <w:rPr>
          <w:iCs/>
        </w:rPr>
      </w:pPr>
      <w:r>
        <w:t xml:space="preserve">In case 1, the two TBs are scheduled </w:t>
      </w:r>
      <w:r w:rsidR="00D53891">
        <w:t xml:space="preserve">by a single DCI </w:t>
      </w:r>
      <w:r>
        <w:t xml:space="preserve">for NPUSCH transmission starting from subframe </w:t>
      </w:r>
      <w:proofErr w:type="spellStart"/>
      <w:r w:rsidRPr="00805778">
        <w:rPr>
          <w:i/>
        </w:rPr>
        <w:t>n+k</w:t>
      </w:r>
      <w:proofErr w:type="spellEnd"/>
      <w:r>
        <w:rPr>
          <w:i/>
        </w:rPr>
        <w:t xml:space="preserve">. </w:t>
      </w:r>
      <w:r>
        <w:rPr>
          <w:iCs/>
        </w:rPr>
        <w:t xml:space="preserve">The specification says monitoring of NPDCCH is not required from immediately after the last subframe of the NPDCCH (subframe </w:t>
      </w:r>
      <w:r w:rsidRPr="00805778">
        <w:rPr>
          <w:i/>
        </w:rPr>
        <w:t>n</w:t>
      </w:r>
      <w:r>
        <w:rPr>
          <w:iCs/>
        </w:rPr>
        <w:t xml:space="preserve">+1) until the subframe just before the NPUSCH starts (subframe </w:t>
      </w:r>
      <w:r w:rsidRPr="00805778">
        <w:rPr>
          <w:i/>
        </w:rPr>
        <w:t>n</w:t>
      </w:r>
      <w:r>
        <w:rPr>
          <w:iCs/>
        </w:rPr>
        <w:t>+</w:t>
      </w:r>
      <w:r w:rsidRPr="00805778">
        <w:rPr>
          <w:i/>
        </w:rPr>
        <w:t>k</w:t>
      </w:r>
      <w:r>
        <w:rPr>
          <w:iCs/>
        </w:rPr>
        <w:t xml:space="preserve">-1). In IoT NTN, the NPUSCH transmission subframe shall be delayed to </w:t>
      </w:r>
      <w:proofErr w:type="spellStart"/>
      <w:r w:rsidRPr="00805778">
        <w:rPr>
          <w:i/>
        </w:rPr>
        <w:t>n+k</w:t>
      </w:r>
      <w:r>
        <w:rPr>
          <w:i/>
        </w:rPr>
        <w:t>+Koffset</w:t>
      </w:r>
      <w:proofErr w:type="spellEnd"/>
      <w:r w:rsidR="005A1EA2">
        <w:rPr>
          <w:iCs/>
        </w:rPr>
        <w:t xml:space="preserve"> and </w:t>
      </w:r>
      <w:proofErr w:type="gramStart"/>
      <w:r w:rsidR="005A1EA2">
        <w:rPr>
          <w:iCs/>
        </w:rPr>
        <w:t xml:space="preserve">actually </w:t>
      </w:r>
      <w:r w:rsidR="005A1EA2">
        <w:rPr>
          <w:iCs/>
        </w:rPr>
        <w:lastRenderedPageBreak/>
        <w:t>transmitted</w:t>
      </w:r>
      <w:proofErr w:type="gramEnd"/>
      <w:r w:rsidR="005A1EA2">
        <w:rPr>
          <w:iCs/>
        </w:rPr>
        <w:t xml:space="preserve"> in subframe </w:t>
      </w:r>
      <w:proofErr w:type="spellStart"/>
      <w:r w:rsidR="005A1EA2" w:rsidRPr="00805778">
        <w:rPr>
          <w:i/>
        </w:rPr>
        <w:t>n+k</w:t>
      </w:r>
      <w:r w:rsidR="005A1EA2">
        <w:rPr>
          <w:i/>
        </w:rPr>
        <w:t>+Koffset</w:t>
      </w:r>
      <w:proofErr w:type="spellEnd"/>
      <w:r w:rsidR="005A1EA2">
        <w:rPr>
          <w:iCs/>
        </w:rPr>
        <w:t xml:space="preserve"> - TA once the </w:t>
      </w:r>
      <w:r w:rsidR="005D68B7">
        <w:rPr>
          <w:iCs/>
        </w:rPr>
        <w:t xml:space="preserve">NPUSCH is </w:t>
      </w:r>
      <w:r w:rsidR="005A1EA2">
        <w:rPr>
          <w:iCs/>
        </w:rPr>
        <w:t>timing advanced. Therefore, the subframes in which NPDCCH monitoring restrictions should apply are: subframe</w:t>
      </w:r>
      <w:r w:rsidR="00136737">
        <w:rPr>
          <w:iCs/>
        </w:rPr>
        <w:t>s</w:t>
      </w:r>
      <w:r w:rsidR="005A1EA2">
        <w:rPr>
          <w:iCs/>
        </w:rPr>
        <w:t xml:space="preserve"> </w:t>
      </w:r>
      <w:r w:rsidR="005A1EA2" w:rsidRPr="00805778">
        <w:rPr>
          <w:i/>
        </w:rPr>
        <w:t>n</w:t>
      </w:r>
      <w:r w:rsidR="005A1EA2">
        <w:rPr>
          <w:iCs/>
        </w:rPr>
        <w:t xml:space="preserve">+1 until </w:t>
      </w:r>
      <w:proofErr w:type="spellStart"/>
      <w:r w:rsidR="005A1EA2" w:rsidRPr="00805778">
        <w:rPr>
          <w:i/>
        </w:rPr>
        <w:t>n+k</w:t>
      </w:r>
      <w:r w:rsidR="005A1EA2">
        <w:rPr>
          <w:i/>
        </w:rPr>
        <w:t>+Koffset</w:t>
      </w:r>
      <w:proofErr w:type="spellEnd"/>
      <w:r w:rsidR="005A1EA2">
        <w:rPr>
          <w:iCs/>
        </w:rPr>
        <w:t xml:space="preserve"> – TA-1.</w:t>
      </w:r>
    </w:p>
    <w:p w14:paraId="63A80ADB" w14:textId="048D6897" w:rsidR="005A1EA2" w:rsidRDefault="005A1EA2" w:rsidP="005A1EA2">
      <w:pPr>
        <w:rPr>
          <w:iCs/>
        </w:rPr>
      </w:pPr>
      <w:r>
        <w:rPr>
          <w:iCs/>
        </w:rPr>
        <w:t xml:space="preserve">Case 2 is </w:t>
      </w:r>
      <w:proofErr w:type="gramStart"/>
      <w:r>
        <w:rPr>
          <w:iCs/>
        </w:rPr>
        <w:t>similar to</w:t>
      </w:r>
      <w:proofErr w:type="gramEnd"/>
      <w:r>
        <w:rPr>
          <w:iCs/>
        </w:rPr>
        <w:t xml:space="preserve"> case 1 except that </w:t>
      </w:r>
      <w:r w:rsidR="000477B7">
        <w:rPr>
          <w:iCs/>
        </w:rPr>
        <w:t xml:space="preserve">multiple </w:t>
      </w:r>
      <w:r w:rsidR="00136737">
        <w:rPr>
          <w:iCs/>
        </w:rPr>
        <w:t>N</w:t>
      </w:r>
      <w:r w:rsidR="000477B7">
        <w:rPr>
          <w:iCs/>
        </w:rPr>
        <w:t>PUSCH are not scheduled by a single DCI</w:t>
      </w:r>
      <w:r>
        <w:rPr>
          <w:iCs/>
        </w:rPr>
        <w:t>. Since the NPUSCH processing requirement is reduced</w:t>
      </w:r>
      <w:r w:rsidR="003D327C">
        <w:rPr>
          <w:iCs/>
        </w:rPr>
        <w:t>,</w:t>
      </w:r>
      <w:r>
        <w:rPr>
          <w:iCs/>
        </w:rPr>
        <w:t xml:space="preserve"> the number of subframes NPDCCH monitoring is restricted </w:t>
      </w:r>
      <w:r w:rsidR="005935FF">
        <w:rPr>
          <w:iCs/>
        </w:rPr>
        <w:t xml:space="preserve">on </w:t>
      </w:r>
      <w:r>
        <w:rPr>
          <w:iCs/>
        </w:rPr>
        <w:t xml:space="preserve">is reduced to just </w:t>
      </w:r>
      <w:r w:rsidR="003D2901">
        <w:rPr>
          <w:iCs/>
        </w:rPr>
        <w:t xml:space="preserve">the two </w:t>
      </w:r>
      <w:r w:rsidRPr="005A1EA2">
        <w:t>subframe</w:t>
      </w:r>
      <w:r w:rsidR="003D2901">
        <w:t>s</w:t>
      </w:r>
      <w:r w:rsidRPr="005A1EA2">
        <w:t xml:space="preserve"> </w:t>
      </w:r>
      <w:r w:rsidRPr="005A1EA2">
        <w:rPr>
          <w:i/>
        </w:rPr>
        <w:t>n+k-2</w:t>
      </w:r>
      <w:r w:rsidRPr="005A1EA2">
        <w:t xml:space="preserve"> </w:t>
      </w:r>
      <w:r w:rsidR="003D2901">
        <w:t>and</w:t>
      </w:r>
      <w:r w:rsidRPr="005A1EA2">
        <w:t xml:space="preserve"> </w:t>
      </w:r>
      <w:r w:rsidRPr="005A1EA2">
        <w:rPr>
          <w:i/>
        </w:rPr>
        <w:t>n+k-1</w:t>
      </w:r>
      <w:r>
        <w:rPr>
          <w:i/>
        </w:rPr>
        <w:t xml:space="preserve">. </w:t>
      </w:r>
      <w:r>
        <w:rPr>
          <w:iCs/>
        </w:rPr>
        <w:t xml:space="preserve">In IoT NTN, the NPUSCH transmission subframe shall be delayed to </w:t>
      </w:r>
      <w:proofErr w:type="spellStart"/>
      <w:r w:rsidRPr="00805778">
        <w:rPr>
          <w:i/>
        </w:rPr>
        <w:t>n+k</w:t>
      </w:r>
      <w:r>
        <w:rPr>
          <w:i/>
        </w:rPr>
        <w:t>+Koffset</w:t>
      </w:r>
      <w:proofErr w:type="spellEnd"/>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005D68B7" w:rsidRPr="005D68B7">
        <w:rPr>
          <w:iCs/>
        </w:rPr>
        <w:t xml:space="preserve"> </w:t>
      </w:r>
      <w:r w:rsidR="005D68B7">
        <w:rPr>
          <w:iCs/>
        </w:rPr>
        <w:t>the NPUSCH is</w:t>
      </w:r>
      <w:r>
        <w:rPr>
          <w:iCs/>
        </w:rPr>
        <w:t xml:space="preserve"> timing advanced. Therefore, the subframe</w:t>
      </w:r>
      <w:r w:rsidR="004A416B">
        <w:rPr>
          <w:iCs/>
        </w:rPr>
        <w:t>s</w:t>
      </w:r>
      <w:r>
        <w:rPr>
          <w:iCs/>
        </w:rPr>
        <w:t xml:space="preserve"> in which NPDCCH monitoring restrictions should apply </w:t>
      </w:r>
      <w:r w:rsidR="00D2140E">
        <w:rPr>
          <w:iCs/>
        </w:rPr>
        <w:t>are</w:t>
      </w:r>
      <w:r>
        <w:rPr>
          <w:iCs/>
        </w:rPr>
        <w:t xml:space="preserve">: subframe </w:t>
      </w:r>
      <w:r w:rsidR="005D68B7">
        <w:rPr>
          <w:iCs/>
        </w:rPr>
        <w:t>(</w:t>
      </w:r>
      <w:proofErr w:type="spellStart"/>
      <w:r w:rsidR="005D68B7" w:rsidRPr="00805778">
        <w:rPr>
          <w:i/>
        </w:rPr>
        <w:t>n+k</w:t>
      </w:r>
      <w:r w:rsidR="005D68B7">
        <w:rPr>
          <w:i/>
        </w:rPr>
        <w:t>+Koffset</w:t>
      </w:r>
      <w:proofErr w:type="spellEnd"/>
      <w:r w:rsidR="005D68B7">
        <w:rPr>
          <w:iCs/>
        </w:rPr>
        <w:t xml:space="preserve"> – TA-2)</w:t>
      </w:r>
      <w:r>
        <w:rPr>
          <w:iCs/>
        </w:rPr>
        <w:t xml:space="preserve"> </w:t>
      </w:r>
      <w:r w:rsidR="005D68B7">
        <w:rPr>
          <w:iCs/>
        </w:rPr>
        <w:t>to subframe</w:t>
      </w:r>
      <w:r>
        <w:rPr>
          <w:iCs/>
        </w:rPr>
        <w:t xml:space="preserve"> </w:t>
      </w:r>
      <w:r w:rsidR="005D68B7">
        <w:rPr>
          <w:iCs/>
        </w:rPr>
        <w:t>(</w:t>
      </w:r>
      <w:proofErr w:type="spellStart"/>
      <w:r w:rsidRPr="00805778">
        <w:rPr>
          <w:i/>
        </w:rPr>
        <w:t>n+k</w:t>
      </w:r>
      <w:r>
        <w:rPr>
          <w:i/>
        </w:rPr>
        <w:t>+Koffset</w:t>
      </w:r>
      <w:proofErr w:type="spellEnd"/>
      <w:r>
        <w:rPr>
          <w:iCs/>
        </w:rPr>
        <w:t xml:space="preserve"> – TA-1</w:t>
      </w:r>
      <w:r w:rsidR="005D68B7">
        <w:rPr>
          <w:iCs/>
        </w:rPr>
        <w:t>)</w:t>
      </w:r>
      <w:r>
        <w:rPr>
          <w:iCs/>
        </w:rPr>
        <w:t>.</w:t>
      </w:r>
    </w:p>
    <w:p w14:paraId="428B76DC" w14:textId="77777777" w:rsidR="00743E3D" w:rsidRDefault="002E15CE" w:rsidP="002E15CE">
      <w:pPr>
        <w:rPr>
          <w:iCs/>
        </w:rPr>
      </w:pPr>
      <w:r>
        <w:rPr>
          <w:iCs/>
        </w:rPr>
        <w:t xml:space="preserve">In case 3, if the UE is configured to transmit a long NPUSCH stretching over 255 subframes from subframe </w:t>
      </w:r>
      <w:proofErr w:type="spellStart"/>
      <w:r w:rsidRPr="002E15CE">
        <w:rPr>
          <w:i/>
        </w:rPr>
        <w:t>n+k</w:t>
      </w:r>
      <w:proofErr w:type="spellEnd"/>
      <w:r>
        <w:rPr>
          <w:iCs/>
        </w:rPr>
        <w:t xml:space="preserve">, then the UE is not expected to </w:t>
      </w:r>
      <w:r w:rsidR="00293A4A">
        <w:rPr>
          <w:iCs/>
        </w:rPr>
        <w:t>receive another</w:t>
      </w:r>
      <w:r>
        <w:rPr>
          <w:iCs/>
        </w:rPr>
        <w:t xml:space="preserve"> </w:t>
      </w:r>
      <w:r w:rsidR="00293A4A">
        <w:rPr>
          <w:iCs/>
        </w:rPr>
        <w:t xml:space="preserve">DCI scheduling another long NPUSCH </w:t>
      </w:r>
      <w:r>
        <w:rPr>
          <w:iCs/>
        </w:rPr>
        <w:t xml:space="preserve">between subframe </w:t>
      </w:r>
      <w:r w:rsidRPr="002E15CE">
        <w:rPr>
          <w:i/>
        </w:rPr>
        <w:t>n</w:t>
      </w:r>
      <w:r>
        <w:rPr>
          <w:iCs/>
        </w:rPr>
        <w:t xml:space="preserve">+1 </w:t>
      </w:r>
      <w:r w:rsidR="00293A4A">
        <w:rPr>
          <w:iCs/>
        </w:rPr>
        <w:t xml:space="preserve">and subframe </w:t>
      </w:r>
      <w:r w:rsidR="00293A4A" w:rsidRPr="005A1EA2">
        <w:rPr>
          <w:i/>
        </w:rPr>
        <w:t>n+k-2</w:t>
      </w:r>
      <w:r>
        <w:rPr>
          <w:iCs/>
        </w:rPr>
        <w:t xml:space="preserve">. In IoT NTN, the NPUSCH transmission subframe shall be delayed to </w:t>
      </w:r>
      <w:proofErr w:type="spellStart"/>
      <w:r w:rsidRPr="00805778">
        <w:rPr>
          <w:i/>
        </w:rPr>
        <w:t>n+k</w:t>
      </w:r>
      <w:r>
        <w:rPr>
          <w:i/>
        </w:rPr>
        <w:t>+Koffset</w:t>
      </w:r>
      <w:proofErr w:type="spellEnd"/>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Pr="005D68B7">
        <w:rPr>
          <w:iCs/>
        </w:rPr>
        <w:t xml:space="preserve"> </w:t>
      </w:r>
      <w:r>
        <w:rPr>
          <w:iCs/>
        </w:rPr>
        <w:t xml:space="preserve">the NPUSCH is timing advanced. Therefore, the subframes in which </w:t>
      </w:r>
      <w:r w:rsidR="00293A4A">
        <w:rPr>
          <w:iCs/>
        </w:rPr>
        <w:t>the UE is not expected to receive another DCI scheduling another long NPUSCH</w:t>
      </w:r>
      <w:r>
        <w:rPr>
          <w:iCs/>
        </w:rPr>
        <w:t xml:space="preserve"> is: subframe (</w:t>
      </w:r>
      <w:r w:rsidRPr="00805778">
        <w:rPr>
          <w:i/>
        </w:rPr>
        <w:t>n+</w:t>
      </w:r>
      <w:r w:rsidR="00293A4A">
        <w:rPr>
          <w:i/>
        </w:rPr>
        <w:t>1</w:t>
      </w:r>
      <w:r>
        <w:rPr>
          <w:iCs/>
        </w:rPr>
        <w:t>) to subframe (</w:t>
      </w:r>
      <w:proofErr w:type="spellStart"/>
      <w:r w:rsidRPr="00805778">
        <w:rPr>
          <w:i/>
        </w:rPr>
        <w:t>n+k</w:t>
      </w:r>
      <w:r>
        <w:rPr>
          <w:i/>
        </w:rPr>
        <w:t>+Koffset</w:t>
      </w:r>
      <w:proofErr w:type="spellEnd"/>
      <w:r>
        <w:rPr>
          <w:iCs/>
        </w:rPr>
        <w:t xml:space="preserve"> – TA-</w:t>
      </w:r>
      <w:r w:rsidR="00293A4A">
        <w:rPr>
          <w:iCs/>
        </w:rPr>
        <w:t>2</w:t>
      </w:r>
      <w:r>
        <w:rPr>
          <w:iCs/>
        </w:rPr>
        <w:t>).</w:t>
      </w:r>
      <w:r w:rsidR="00293A4A">
        <w:rPr>
          <w:iCs/>
        </w:rPr>
        <w:t xml:space="preserve"> </w:t>
      </w:r>
    </w:p>
    <w:p w14:paraId="447436C4" w14:textId="35968A44" w:rsidR="002E15CE" w:rsidRPr="00743E3D" w:rsidRDefault="00293A4A" w:rsidP="002E15CE">
      <w:pPr>
        <w:rPr>
          <w:iCs/>
        </w:rPr>
      </w:pPr>
      <w:r w:rsidRPr="00501310">
        <w:rPr>
          <w:iCs/>
        </w:rPr>
        <w:t xml:space="preserve">Does this mean it does not have to monitor NPDCCH? </w:t>
      </w:r>
      <w:r w:rsidR="0031499F" w:rsidRPr="00501310">
        <w:rPr>
          <w:iCs/>
        </w:rPr>
        <w:t>Are there</w:t>
      </w:r>
      <w:r w:rsidRPr="00501310">
        <w:rPr>
          <w:iCs/>
        </w:rPr>
        <w:t xml:space="preserve"> other DCI formats </w:t>
      </w:r>
      <w:r w:rsidR="0031499F" w:rsidRPr="00501310">
        <w:rPr>
          <w:iCs/>
        </w:rPr>
        <w:t>needing</w:t>
      </w:r>
      <w:r w:rsidRPr="00501310">
        <w:rPr>
          <w:iCs/>
        </w:rPr>
        <w:t xml:space="preserve"> monitor</w:t>
      </w:r>
      <w:r w:rsidR="0031499F" w:rsidRPr="00501310">
        <w:rPr>
          <w:iCs/>
        </w:rPr>
        <w:t>ing</w:t>
      </w:r>
      <w:r w:rsidR="00743E3D" w:rsidRPr="00501310">
        <w:rPr>
          <w:iCs/>
        </w:rPr>
        <w:t>,</w:t>
      </w:r>
      <w:r w:rsidRPr="00501310">
        <w:rPr>
          <w:iCs/>
        </w:rPr>
        <w:t xml:space="preserve"> for example?</w:t>
      </w:r>
    </w:p>
    <w:p w14:paraId="361A6158" w14:textId="3FF21045" w:rsidR="005A1EA2" w:rsidRDefault="00293A4A" w:rsidP="00805778">
      <w:pPr>
        <w:rPr>
          <w:iCs/>
        </w:rPr>
      </w:pPr>
      <w:r>
        <w:rPr>
          <w:iCs/>
        </w:rPr>
        <w:t xml:space="preserve">Case 4 is </w:t>
      </w:r>
      <w:r w:rsidR="005758FC">
        <w:rPr>
          <w:iCs/>
        </w:rPr>
        <w:t>the baseline case</w:t>
      </w:r>
      <w:r>
        <w:rPr>
          <w:iCs/>
        </w:rPr>
        <w:t xml:space="preserve">. The UE does not monitor NPDCCH from </w:t>
      </w:r>
      <w:r w:rsidRPr="001A7C01">
        <w:t xml:space="preserve">subframe </w:t>
      </w:r>
      <w:r w:rsidRPr="001A7C01">
        <w:rPr>
          <w:i/>
        </w:rPr>
        <w:t>n+1</w:t>
      </w:r>
      <w:r w:rsidRPr="001A7C01">
        <w:t xml:space="preserve"> to </w:t>
      </w:r>
      <w:r w:rsidRPr="00293A4A">
        <w:t xml:space="preserve">subframe </w:t>
      </w:r>
      <w:r w:rsidRPr="00293A4A">
        <w:rPr>
          <w:i/>
        </w:rPr>
        <w:t>n+k-1</w:t>
      </w:r>
      <w:r w:rsidRPr="001A7C01">
        <w:t>.</w:t>
      </w:r>
      <w:r>
        <w:t xml:space="preserve"> </w:t>
      </w:r>
      <w:r>
        <w:rPr>
          <w:i/>
        </w:rPr>
        <w:t xml:space="preserve"> </w:t>
      </w:r>
      <w:r>
        <w:rPr>
          <w:iCs/>
        </w:rPr>
        <w:t>In IoT NTN, the NPUSCH transmission subframe shall be delayed to subframe (</w:t>
      </w:r>
      <w:proofErr w:type="spellStart"/>
      <w:r w:rsidRPr="00805778">
        <w:rPr>
          <w:i/>
        </w:rPr>
        <w:t>n+k</w:t>
      </w:r>
      <w:r>
        <w:rPr>
          <w:i/>
        </w:rPr>
        <w:t>+Koffset</w:t>
      </w:r>
      <w:proofErr w:type="spellEnd"/>
      <w:r>
        <w:rPr>
          <w:i/>
        </w:rPr>
        <w:t>)</w:t>
      </w:r>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Pr="005D68B7">
        <w:rPr>
          <w:iCs/>
        </w:rPr>
        <w:t xml:space="preserve"> </w:t>
      </w:r>
      <w:r>
        <w:rPr>
          <w:iCs/>
        </w:rPr>
        <w:t>the NPUSCH is timing advanced. Therefore, the subframe in which NPDCCH monitoring restrictions should apply is: subframe (</w:t>
      </w:r>
      <w:r w:rsidRPr="00805778">
        <w:rPr>
          <w:i/>
        </w:rPr>
        <w:t>n+</w:t>
      </w:r>
      <w:r>
        <w:rPr>
          <w:i/>
        </w:rPr>
        <w:t>1</w:t>
      </w:r>
      <w:r>
        <w:rPr>
          <w:iCs/>
        </w:rPr>
        <w:t>) to subframe (</w:t>
      </w:r>
      <w:proofErr w:type="spellStart"/>
      <w:r w:rsidRPr="00805778">
        <w:rPr>
          <w:i/>
        </w:rPr>
        <w:t>n+k</w:t>
      </w:r>
      <w:r>
        <w:rPr>
          <w:i/>
        </w:rPr>
        <w:t>+Koffset</w:t>
      </w:r>
      <w:proofErr w:type="spellEnd"/>
      <w:r>
        <w:rPr>
          <w:iCs/>
        </w:rPr>
        <w:t xml:space="preserve"> – TA-1).</w:t>
      </w:r>
    </w:p>
    <w:p w14:paraId="5E949E54" w14:textId="77777777" w:rsidR="001B5AEC" w:rsidRPr="00BC21EB" w:rsidRDefault="001B5AEC" w:rsidP="001B5AEC">
      <w:pPr>
        <w:rPr>
          <w:b/>
          <w:bCs/>
        </w:rPr>
      </w:pPr>
      <w:r w:rsidRPr="001B5AEC">
        <w:rPr>
          <w:b/>
          <w:bCs/>
          <w:iCs/>
        </w:rPr>
        <w:t xml:space="preserve">Proposal 1: </w:t>
      </w:r>
      <w:r w:rsidRPr="001B5AEC">
        <w:rPr>
          <w:b/>
          <w:bCs/>
        </w:rPr>
        <w:t xml:space="preserve">For an NB-IoT UE </w:t>
      </w:r>
      <w:r w:rsidRPr="001B5AEC">
        <w:rPr>
          <w:b/>
          <w:bCs/>
          <w:iCs/>
        </w:rPr>
        <w:t xml:space="preserve">that </w:t>
      </w:r>
      <w:r w:rsidRPr="001B5AEC">
        <w:rPr>
          <w:b/>
          <w:bCs/>
        </w:rPr>
        <w:t xml:space="preserve">detects NPDCCH with DCI Format N0 scheduling a corresponding NPUSCH Format 1, update the designation of subframes in which NPDCCH monitoring is restricted to take account of </w:t>
      </w:r>
      <w:proofErr w:type="spellStart"/>
      <w:r w:rsidRPr="001B5AEC">
        <w:rPr>
          <w:b/>
          <w:bCs/>
        </w:rPr>
        <w:t>Koffset</w:t>
      </w:r>
      <w:proofErr w:type="spellEnd"/>
      <w:r w:rsidRPr="001B5AEC">
        <w:rPr>
          <w:b/>
          <w:bCs/>
        </w:rPr>
        <w:t xml:space="preserve"> and TA.</w:t>
      </w:r>
    </w:p>
    <w:p w14:paraId="6334CF1F" w14:textId="77777777" w:rsidR="001B5AEC" w:rsidRPr="00BC21EB" w:rsidRDefault="001B5AEC" w:rsidP="00743E3D">
      <w:pPr>
        <w:rPr>
          <w:b/>
          <w:bCs/>
        </w:rPr>
      </w:pPr>
    </w:p>
    <w:p w14:paraId="1BB4270F" w14:textId="4466EF5F" w:rsidR="0031499F" w:rsidRDefault="0031499F" w:rsidP="0031499F">
      <w:pPr>
        <w:pStyle w:val="Heading2"/>
      </w:pPr>
      <w:r>
        <w:t>Case 5</w:t>
      </w:r>
    </w:p>
    <w:p w14:paraId="1D93AD1B" w14:textId="77777777" w:rsidR="0031499F" w:rsidRDefault="0031499F" w:rsidP="0031499F">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4564A15A" w14:textId="77777777" w:rsidR="0031499F" w:rsidRPr="00AB3193" w:rsidRDefault="0031499F" w:rsidP="0031499F">
      <w:pPr>
        <w:pStyle w:val="B1"/>
        <w:rPr>
          <w:lang w:eastAsia="zh-CN"/>
        </w:rPr>
      </w:pPr>
      <w:r>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5</w:t>
      </w:r>
      <w:r w:rsidRPr="0038014E">
        <w:rPr>
          <w:rFonts w:eastAsiaTheme="minorEastAsia"/>
          <w:color w:val="FF0000"/>
          <w:lang w:eastAsia="zh-CN"/>
        </w:rPr>
        <w:t xml:space="preserve">: </w:t>
      </w:r>
      <w:r>
        <w:rPr>
          <w:rFonts w:eastAsiaTheme="minorEastAsia"/>
          <w:color w:val="FF0000"/>
          <w:lang w:eastAsia="zh-CN"/>
        </w:rPr>
        <w:t>NPUSCH format 2 in response to DCI format N1</w:t>
      </w:r>
      <w:r>
        <w:rPr>
          <w:rFonts w:eastAsiaTheme="minorEastAsia"/>
          <w:lang w:eastAsia="zh-CN"/>
        </w:rPr>
        <w:t xml:space="preserve">] </w:t>
      </w:r>
      <w:r>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 xml:space="preserve">n+ </w:t>
      </w:r>
      <w:r w:rsidRPr="000D11C8">
        <w:rPr>
          <w:i/>
        </w:rPr>
        <w:t>k</w:t>
      </w:r>
      <w:r w:rsidRPr="000D11C8">
        <w:t xml:space="preserve"> to subframe </w:t>
      </w:r>
      <w:r w:rsidRPr="000D11C8">
        <w:rPr>
          <w:i/>
        </w:rPr>
        <w:t>n+m-1</w:t>
      </w:r>
      <w:r w:rsidRPr="000D11C8">
        <w:t>.</w:t>
      </w:r>
      <w:r w:rsidRPr="00AB3193">
        <w:rPr>
          <w:lang w:eastAsia="zh-CN"/>
        </w:rPr>
        <w:t xml:space="preserve"> </w:t>
      </w:r>
    </w:p>
    <w:p w14:paraId="2F0631E0" w14:textId="40FD0FF6" w:rsidR="0031499F" w:rsidRPr="0031499F" w:rsidRDefault="0031499F" w:rsidP="0031499F">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3BD9F33F" w14:textId="3BF9F437" w:rsidR="0031499F" w:rsidRDefault="0031499F" w:rsidP="0031499F">
      <w:pPr>
        <w:pStyle w:val="Heading3"/>
      </w:pPr>
      <w:r>
        <w:t xml:space="preserve">Case 5: </w:t>
      </w:r>
      <w:r w:rsidR="006167A7">
        <w:t>Discussion</w:t>
      </w:r>
    </w:p>
    <w:p w14:paraId="119EFEA1" w14:textId="7F1AC09D" w:rsidR="004C0DE6" w:rsidRDefault="00125F3D" w:rsidP="004C0DE6">
      <w:pPr>
        <w:rPr>
          <w:iCs/>
        </w:rPr>
      </w:pPr>
      <w:r>
        <w:rPr>
          <w:iCs/>
        </w:rPr>
        <w:t xml:space="preserve">In </w:t>
      </w:r>
      <w:r w:rsidR="006167A7">
        <w:rPr>
          <w:iCs/>
        </w:rPr>
        <w:t>case 5</w:t>
      </w:r>
      <w:r>
        <w:rPr>
          <w:iCs/>
        </w:rPr>
        <w:t xml:space="preserve">, the UE receives NPDSCH starting from subframe </w:t>
      </w:r>
      <w:proofErr w:type="spellStart"/>
      <w:r w:rsidRPr="001A7C01">
        <w:rPr>
          <w:i/>
        </w:rPr>
        <w:t>n+k</w:t>
      </w:r>
      <w:proofErr w:type="spellEnd"/>
      <w:r>
        <w:rPr>
          <w:iCs/>
        </w:rPr>
        <w:t xml:space="preserve"> and then </w:t>
      </w:r>
      <w:proofErr w:type="gramStart"/>
      <w:r>
        <w:rPr>
          <w:iCs/>
        </w:rPr>
        <w:t>has to</w:t>
      </w:r>
      <w:proofErr w:type="gramEnd"/>
      <w:r>
        <w:rPr>
          <w:iCs/>
        </w:rPr>
        <w:t xml:space="preserve"> transmit NPUSCH format 2 </w:t>
      </w:r>
      <w:r w:rsidR="004C0DE6">
        <w:rPr>
          <w:iCs/>
        </w:rPr>
        <w:t>starting</w:t>
      </w:r>
      <w:r>
        <w:rPr>
          <w:iCs/>
        </w:rPr>
        <w:t xml:space="preserve"> in </w:t>
      </w:r>
      <w:r w:rsidRPr="00AB3193">
        <w:rPr>
          <w:rFonts w:hint="eastAsia"/>
          <w:lang w:eastAsia="zh-CN"/>
        </w:rPr>
        <w:t xml:space="preserve">subframe </w:t>
      </w:r>
      <w:proofErr w:type="spellStart"/>
      <w:r w:rsidRPr="00AB3193">
        <w:rPr>
          <w:i/>
        </w:rPr>
        <w:t>n+m</w:t>
      </w:r>
      <w:proofErr w:type="spellEnd"/>
      <w:r>
        <w:rPr>
          <w:iCs/>
        </w:rPr>
        <w:t xml:space="preserve">. </w:t>
      </w:r>
      <w:r w:rsidR="004C0DE6">
        <w:rPr>
          <w:iCs/>
        </w:rPr>
        <w:t xml:space="preserve">The UE is not expected to monitor NPDCCH between subframes </w:t>
      </w:r>
      <w:proofErr w:type="spellStart"/>
      <w:r w:rsidR="004C0DE6" w:rsidRPr="002E15CE">
        <w:rPr>
          <w:i/>
        </w:rPr>
        <w:t>n</w:t>
      </w:r>
      <w:r w:rsidR="004C0DE6">
        <w:rPr>
          <w:iCs/>
        </w:rPr>
        <w:t>+</w:t>
      </w:r>
      <w:r w:rsidR="004C0DE6" w:rsidRPr="004C0DE6">
        <w:rPr>
          <w:i/>
        </w:rPr>
        <w:t>k</w:t>
      </w:r>
      <w:proofErr w:type="spellEnd"/>
      <w:r w:rsidR="004C0DE6">
        <w:rPr>
          <w:iCs/>
        </w:rPr>
        <w:t xml:space="preserve"> and subframe </w:t>
      </w:r>
      <w:r w:rsidR="004C0DE6" w:rsidRPr="005A1EA2">
        <w:rPr>
          <w:i/>
        </w:rPr>
        <w:t>n+</w:t>
      </w:r>
      <w:r w:rsidR="004C0DE6">
        <w:rPr>
          <w:i/>
        </w:rPr>
        <w:t>m</w:t>
      </w:r>
      <w:r w:rsidR="004C0DE6" w:rsidRPr="005A1EA2">
        <w:rPr>
          <w:i/>
        </w:rPr>
        <w:t>-</w:t>
      </w:r>
      <w:r w:rsidR="004C0DE6">
        <w:rPr>
          <w:i/>
        </w:rPr>
        <w:t>1</w:t>
      </w:r>
      <w:r w:rsidR="004C0DE6">
        <w:rPr>
          <w:iCs/>
        </w:rPr>
        <w:t xml:space="preserve">. In IoT NTN, the NPUSCH transmission shall be delayed by </w:t>
      </w:r>
      <w:proofErr w:type="spellStart"/>
      <w:r w:rsidR="004C0DE6">
        <w:rPr>
          <w:i/>
        </w:rPr>
        <w:t>Koffset</w:t>
      </w:r>
      <w:proofErr w:type="spellEnd"/>
      <w:r w:rsidR="004C0DE6">
        <w:rPr>
          <w:iCs/>
        </w:rPr>
        <w:t xml:space="preserve"> and so shall start instead at subframe (</w:t>
      </w:r>
      <w:proofErr w:type="spellStart"/>
      <w:r w:rsidR="004C0DE6" w:rsidRPr="00805778">
        <w:rPr>
          <w:i/>
        </w:rPr>
        <w:t>n+</w:t>
      </w:r>
      <w:r w:rsidR="004C0DE6">
        <w:rPr>
          <w:i/>
        </w:rPr>
        <w:t>m+Koffset-TA</w:t>
      </w:r>
      <w:proofErr w:type="spellEnd"/>
      <w:r w:rsidR="004C0DE6">
        <w:rPr>
          <w:i/>
        </w:rPr>
        <w:t>)</w:t>
      </w:r>
      <w:r w:rsidR="004C0DE6">
        <w:rPr>
          <w:iCs/>
        </w:rPr>
        <w:t xml:space="preserve"> once</w:t>
      </w:r>
      <w:r w:rsidR="004C0DE6" w:rsidRPr="005D68B7">
        <w:rPr>
          <w:iCs/>
        </w:rPr>
        <w:t xml:space="preserve"> </w:t>
      </w:r>
      <w:r w:rsidR="004C0DE6">
        <w:rPr>
          <w:iCs/>
        </w:rPr>
        <w:t>the NPUSCH is timing advanced. Therefore, the subframes in which NPDCCH monitoring restrictions should apply are: subframe (</w:t>
      </w:r>
      <w:proofErr w:type="spellStart"/>
      <w:r w:rsidR="004C0DE6" w:rsidRPr="00805778">
        <w:rPr>
          <w:i/>
        </w:rPr>
        <w:t>n+</w:t>
      </w:r>
      <w:r w:rsidR="004C0DE6" w:rsidRPr="00AB3193">
        <w:rPr>
          <w:i/>
        </w:rPr>
        <w:t>k</w:t>
      </w:r>
      <w:proofErr w:type="spellEnd"/>
      <w:r w:rsidR="004C0DE6">
        <w:rPr>
          <w:iCs/>
        </w:rPr>
        <w:t>) to subframe (</w:t>
      </w:r>
      <w:proofErr w:type="spellStart"/>
      <w:r w:rsidR="004C0DE6" w:rsidRPr="00805778">
        <w:rPr>
          <w:i/>
        </w:rPr>
        <w:t>n+</w:t>
      </w:r>
      <w:r w:rsidR="004C0DE6">
        <w:rPr>
          <w:i/>
        </w:rPr>
        <w:t>m+Koffset</w:t>
      </w:r>
      <w:proofErr w:type="spellEnd"/>
      <w:r w:rsidR="004C0DE6">
        <w:rPr>
          <w:iCs/>
        </w:rPr>
        <w:t xml:space="preserve"> – TA-1).</w:t>
      </w:r>
    </w:p>
    <w:p w14:paraId="06718B82" w14:textId="07AA6F81" w:rsidR="004C0DE6" w:rsidRPr="007809C8" w:rsidRDefault="00BC21EB" w:rsidP="004C0DE6">
      <w:pPr>
        <w:rPr>
          <w:b/>
          <w:bCs/>
        </w:rPr>
      </w:pPr>
      <w:r w:rsidRPr="00BC21EB">
        <w:rPr>
          <w:b/>
          <w:bCs/>
          <w:iCs/>
        </w:rPr>
        <w:t xml:space="preserve">Proposal </w:t>
      </w:r>
      <w:r w:rsidR="001B5AEC">
        <w:rPr>
          <w:b/>
          <w:bCs/>
          <w:iCs/>
        </w:rPr>
        <w:t>2</w:t>
      </w:r>
      <w:r w:rsidRPr="00BC21EB">
        <w:rPr>
          <w:b/>
          <w:bCs/>
          <w:iCs/>
        </w:rPr>
        <w:t xml:space="preserve">: </w:t>
      </w:r>
      <w:r w:rsidRPr="00BC21EB">
        <w:rPr>
          <w:b/>
          <w:bCs/>
        </w:rPr>
        <w:t xml:space="preserve">For an NB-IoT UE </w:t>
      </w:r>
      <w:r>
        <w:rPr>
          <w:b/>
          <w:bCs/>
        </w:rPr>
        <w:t xml:space="preserve">using FDD that receives an NPDSCH and </w:t>
      </w:r>
      <w:proofErr w:type="gramStart"/>
      <w:r>
        <w:rPr>
          <w:b/>
          <w:bCs/>
        </w:rPr>
        <w:t>has to</w:t>
      </w:r>
      <w:proofErr w:type="gramEnd"/>
      <w:r>
        <w:rPr>
          <w:b/>
          <w:bCs/>
        </w:rPr>
        <w:t xml:space="preserve"> transmit a corresponding</w:t>
      </w:r>
      <w:r w:rsidRPr="00BC21EB">
        <w:rPr>
          <w:b/>
          <w:bCs/>
          <w:i/>
        </w:rPr>
        <w:t xml:space="preserve"> </w:t>
      </w:r>
      <w:r w:rsidRPr="00BC21EB">
        <w:rPr>
          <w:b/>
          <w:bCs/>
        </w:rPr>
        <w:t xml:space="preserve">NPUSCH Format </w:t>
      </w:r>
      <w:r>
        <w:rPr>
          <w:b/>
          <w:bCs/>
        </w:rPr>
        <w:t>2</w:t>
      </w:r>
      <w:r w:rsidRPr="00BC21EB">
        <w:rPr>
          <w:b/>
          <w:bCs/>
        </w:rPr>
        <w:t xml:space="preserve">, update the designation of subframes </w:t>
      </w:r>
      <w:r>
        <w:rPr>
          <w:b/>
          <w:bCs/>
        </w:rPr>
        <w:t xml:space="preserve">in </w:t>
      </w:r>
      <w:r w:rsidR="00E0012F">
        <w:rPr>
          <w:b/>
          <w:bCs/>
        </w:rPr>
        <w:t xml:space="preserve">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ed</w:t>
      </w:r>
      <w:r w:rsidR="00E0012F">
        <w:rPr>
          <w:b/>
          <w:bCs/>
        </w:rPr>
        <w:t xml:space="preserve"> to take account of </w:t>
      </w:r>
      <w:proofErr w:type="spellStart"/>
      <w:r w:rsidR="00E0012F">
        <w:rPr>
          <w:b/>
          <w:bCs/>
        </w:rPr>
        <w:t>Koffset</w:t>
      </w:r>
      <w:proofErr w:type="spellEnd"/>
      <w:r w:rsidR="00E0012F">
        <w:rPr>
          <w:b/>
          <w:bCs/>
        </w:rPr>
        <w:t xml:space="preserve"> and TA</w:t>
      </w:r>
      <w:r w:rsidRPr="00BC21EB">
        <w:rPr>
          <w:b/>
          <w:bCs/>
        </w:rPr>
        <w:t>.</w:t>
      </w:r>
    </w:p>
    <w:p w14:paraId="6AB02415" w14:textId="2BC487E9" w:rsidR="006167A7" w:rsidRDefault="006167A7" w:rsidP="006167A7">
      <w:pPr>
        <w:pStyle w:val="Heading2"/>
      </w:pPr>
      <w:r>
        <w:t>Case 6</w:t>
      </w:r>
    </w:p>
    <w:p w14:paraId="4A3096F4" w14:textId="77777777" w:rsidR="006167A7" w:rsidRDefault="006167A7" w:rsidP="006167A7">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451BE9C1" w14:textId="77777777" w:rsidR="006167A7" w:rsidRPr="00AB3193" w:rsidRDefault="006167A7" w:rsidP="006167A7">
      <w:pPr>
        <w:pStyle w:val="B1"/>
        <w:rPr>
          <w:lang w:eastAsia="zh-CN"/>
        </w:rPr>
      </w:pPr>
      <w:r>
        <w:lastRenderedPageBreak/>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6</w:t>
      </w:r>
      <w:r w:rsidRPr="0038014E">
        <w:rPr>
          <w:rFonts w:eastAsiaTheme="minorEastAsia"/>
          <w:color w:val="FF0000"/>
          <w:lang w:eastAsia="zh-CN"/>
        </w:rPr>
        <w:t xml:space="preserve">: </w:t>
      </w:r>
      <w:r>
        <w:rPr>
          <w:rFonts w:eastAsiaTheme="minorEastAsia"/>
          <w:color w:val="FF0000"/>
          <w:lang w:eastAsia="zh-CN"/>
        </w:rPr>
        <w:t>NPRACH in response to PDCCH order</w:t>
      </w:r>
      <w:r>
        <w:rPr>
          <w:rFonts w:eastAsiaTheme="minorEastAsia"/>
          <w:lang w:eastAsia="zh-CN"/>
        </w:rPr>
        <w:t xml:space="preserve">] </w:t>
      </w:r>
      <w:r>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proofErr w:type="spellStart"/>
      <w:r w:rsidRPr="001A7C01">
        <w:rPr>
          <w:i/>
        </w:rPr>
        <w:t>n+k</w:t>
      </w:r>
      <w:proofErr w:type="spellEnd"/>
      <w:r w:rsidRPr="001A7C01">
        <w:t xml:space="preserve">, the UE is not required to monitor NPDCCH in any subframe starting from subframe </w:t>
      </w:r>
      <w:r w:rsidRPr="001A7C01">
        <w:rPr>
          <w:i/>
        </w:rPr>
        <w:t>n+</w:t>
      </w:r>
      <w:r w:rsidRPr="000D11C8">
        <w:rPr>
          <w:i/>
        </w:rPr>
        <w:t xml:space="preserve">1 </w:t>
      </w:r>
      <w:r w:rsidRPr="000D11C8">
        <w:t xml:space="preserve">to subframe </w:t>
      </w:r>
      <w:r w:rsidRPr="000D11C8">
        <w:rPr>
          <w:i/>
        </w:rPr>
        <w:t>n+k-1</w:t>
      </w:r>
      <w:r w:rsidRPr="000D11C8">
        <w:t>.</w:t>
      </w:r>
      <w:r w:rsidRPr="00AB3193">
        <w:rPr>
          <w:lang w:eastAsia="zh-CN"/>
        </w:rPr>
        <w:t xml:space="preserve"> </w:t>
      </w:r>
    </w:p>
    <w:p w14:paraId="5AE36628" w14:textId="77777777" w:rsidR="006167A7" w:rsidRPr="001A7C01" w:rsidRDefault="006167A7" w:rsidP="006167A7">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6450F449" w14:textId="2D9EC36C" w:rsidR="006167A7" w:rsidRDefault="006167A7" w:rsidP="006167A7">
      <w:pPr>
        <w:pStyle w:val="Heading3"/>
      </w:pPr>
      <w:r>
        <w:t>Case 6: Discussion</w:t>
      </w:r>
    </w:p>
    <w:p w14:paraId="2FB916E5" w14:textId="1A8D6AA3" w:rsidR="006167A7" w:rsidRDefault="006167A7" w:rsidP="004C0DE6">
      <w:pPr>
        <w:rPr>
          <w:iCs/>
        </w:rPr>
      </w:pPr>
      <w:r>
        <w:rPr>
          <w:iCs/>
        </w:rPr>
        <w:t xml:space="preserve">In case 6, the UE receives a NPDCCH order to RACH ending in subframe </w:t>
      </w:r>
      <w:r w:rsidRPr="006167A7">
        <w:rPr>
          <w:i/>
        </w:rPr>
        <w:t>n</w:t>
      </w:r>
      <w:r>
        <w:rPr>
          <w:iCs/>
        </w:rPr>
        <w:t xml:space="preserve"> and the corresponding </w:t>
      </w:r>
      <w:r w:rsidR="002D685F">
        <w:rPr>
          <w:iCs/>
        </w:rPr>
        <w:t xml:space="preserve">NPRACH should start from subframe </w:t>
      </w:r>
      <w:proofErr w:type="spellStart"/>
      <w:r w:rsidR="002D685F" w:rsidRPr="001A7C01">
        <w:rPr>
          <w:i/>
        </w:rPr>
        <w:t>n+k</w:t>
      </w:r>
      <w:proofErr w:type="spellEnd"/>
      <w:r w:rsidR="002D685F">
        <w:rPr>
          <w:iCs/>
        </w:rPr>
        <w:t xml:space="preserve">. The UE is not expected to monitor NPDCCH in subframes </w:t>
      </w:r>
      <w:r w:rsidR="002D685F" w:rsidRPr="002E15CE">
        <w:rPr>
          <w:i/>
        </w:rPr>
        <w:t>n</w:t>
      </w:r>
      <w:r w:rsidR="002D685F">
        <w:rPr>
          <w:iCs/>
        </w:rPr>
        <w:t>+</w:t>
      </w:r>
      <w:r w:rsidR="002D685F">
        <w:rPr>
          <w:i/>
        </w:rPr>
        <w:t>1</w:t>
      </w:r>
      <w:r w:rsidR="002D685F">
        <w:rPr>
          <w:iCs/>
        </w:rPr>
        <w:t xml:space="preserve"> </w:t>
      </w:r>
      <w:r w:rsidR="00232BC7">
        <w:rPr>
          <w:iCs/>
        </w:rPr>
        <w:t xml:space="preserve">to </w:t>
      </w:r>
      <w:r w:rsidR="002D685F">
        <w:rPr>
          <w:iCs/>
        </w:rPr>
        <w:t xml:space="preserve">subframe </w:t>
      </w:r>
      <w:r w:rsidR="002D685F" w:rsidRPr="005A1EA2">
        <w:rPr>
          <w:i/>
        </w:rPr>
        <w:t>n+</w:t>
      </w:r>
      <w:r w:rsidR="002D685F">
        <w:rPr>
          <w:i/>
        </w:rPr>
        <w:t>k</w:t>
      </w:r>
      <w:r w:rsidR="002D685F" w:rsidRPr="005A1EA2">
        <w:rPr>
          <w:i/>
        </w:rPr>
        <w:t>-</w:t>
      </w:r>
      <w:r w:rsidR="002D685F">
        <w:rPr>
          <w:i/>
        </w:rPr>
        <w:t>1</w:t>
      </w:r>
      <w:r w:rsidR="002D685F">
        <w:rPr>
          <w:iCs/>
        </w:rPr>
        <w:t xml:space="preserve">. In IoT NTN, the NPRACH transmission shall be delayed by </w:t>
      </w:r>
      <w:proofErr w:type="spellStart"/>
      <w:r w:rsidR="002D685F">
        <w:rPr>
          <w:i/>
        </w:rPr>
        <w:t>Koffset</w:t>
      </w:r>
      <w:proofErr w:type="spellEnd"/>
      <w:r w:rsidR="002D685F">
        <w:rPr>
          <w:iCs/>
        </w:rPr>
        <w:t xml:space="preserve"> and so shall start instead at subframe (</w:t>
      </w:r>
      <w:proofErr w:type="spellStart"/>
      <w:r w:rsidR="002D685F" w:rsidRPr="00805778">
        <w:rPr>
          <w:i/>
        </w:rPr>
        <w:t>n+</w:t>
      </w:r>
      <w:r w:rsidR="002D685F">
        <w:rPr>
          <w:i/>
        </w:rPr>
        <w:t>k+Koffset-TA</w:t>
      </w:r>
      <w:proofErr w:type="spellEnd"/>
      <w:r w:rsidR="002D685F">
        <w:rPr>
          <w:i/>
        </w:rPr>
        <w:t>)</w:t>
      </w:r>
      <w:r w:rsidR="002D685F">
        <w:rPr>
          <w:iCs/>
        </w:rPr>
        <w:t xml:space="preserve"> once</w:t>
      </w:r>
      <w:r w:rsidR="002D685F" w:rsidRPr="005D68B7">
        <w:rPr>
          <w:iCs/>
        </w:rPr>
        <w:t xml:space="preserve"> </w:t>
      </w:r>
      <w:r w:rsidR="002D685F">
        <w:rPr>
          <w:iCs/>
        </w:rPr>
        <w:t>the NPRACH is timing advanced. Therefore, the subframes in which NPDCCH monitoring restrictions should apply are: subframe (</w:t>
      </w:r>
      <w:r w:rsidR="002D685F" w:rsidRPr="00805778">
        <w:rPr>
          <w:i/>
        </w:rPr>
        <w:t>n+</w:t>
      </w:r>
      <w:r w:rsidR="002D685F">
        <w:rPr>
          <w:i/>
        </w:rPr>
        <w:t>1</w:t>
      </w:r>
      <w:r w:rsidR="002D685F">
        <w:rPr>
          <w:iCs/>
        </w:rPr>
        <w:t>) to subframe (</w:t>
      </w:r>
      <w:proofErr w:type="spellStart"/>
      <w:r w:rsidR="002D685F" w:rsidRPr="00805778">
        <w:rPr>
          <w:i/>
        </w:rPr>
        <w:t>n+</w:t>
      </w:r>
      <w:r w:rsidR="002D685F">
        <w:rPr>
          <w:i/>
        </w:rPr>
        <w:t>k+Koffset</w:t>
      </w:r>
      <w:proofErr w:type="spellEnd"/>
      <w:r w:rsidR="002D685F">
        <w:rPr>
          <w:iCs/>
        </w:rPr>
        <w:t xml:space="preserve"> – TA-1).</w:t>
      </w:r>
    </w:p>
    <w:p w14:paraId="77C9861A" w14:textId="60D64898" w:rsidR="00E0012F" w:rsidRPr="00BC21EB" w:rsidRDefault="00E0012F" w:rsidP="00E0012F">
      <w:pPr>
        <w:rPr>
          <w:b/>
          <w:bCs/>
        </w:rPr>
      </w:pPr>
      <w:r w:rsidRPr="00BC21EB">
        <w:rPr>
          <w:b/>
          <w:bCs/>
          <w:iCs/>
        </w:rPr>
        <w:t xml:space="preserve">Proposal </w:t>
      </w:r>
      <w:r w:rsidR="001B5AEC">
        <w:rPr>
          <w:b/>
          <w:bCs/>
          <w:iCs/>
        </w:rPr>
        <w:t>3</w:t>
      </w:r>
      <w:r w:rsidRPr="00BC21EB">
        <w:rPr>
          <w:b/>
          <w:bCs/>
          <w:iCs/>
        </w:rPr>
        <w:t xml:space="preserve">: </w:t>
      </w:r>
      <w:r w:rsidRPr="00BC21EB">
        <w:rPr>
          <w:b/>
          <w:bCs/>
        </w:rPr>
        <w:t xml:space="preserve">For an NB-IoT UE </w:t>
      </w:r>
      <w:r>
        <w:rPr>
          <w:b/>
          <w:bCs/>
        </w:rPr>
        <w:t xml:space="preserve">using FDD that receives an NPDCCH order to RACH and </w:t>
      </w:r>
      <w:proofErr w:type="gramStart"/>
      <w:r>
        <w:rPr>
          <w:b/>
          <w:bCs/>
        </w:rPr>
        <w:t>has to</w:t>
      </w:r>
      <w:proofErr w:type="gramEnd"/>
      <w:r>
        <w:rPr>
          <w:b/>
          <w:bCs/>
        </w:rPr>
        <w:t xml:space="preserve"> transmit a corresponding</w:t>
      </w:r>
      <w:r w:rsidRPr="00BC21EB">
        <w:rPr>
          <w:b/>
          <w:bCs/>
          <w:i/>
        </w:rPr>
        <w:t xml:space="preserve"> </w:t>
      </w:r>
      <w:r w:rsidRPr="00BC21EB">
        <w:rPr>
          <w:b/>
          <w:bCs/>
        </w:rPr>
        <w:t>NP</w:t>
      </w:r>
      <w:r>
        <w:rPr>
          <w:b/>
          <w:bCs/>
        </w:rPr>
        <w:t>RA</w:t>
      </w:r>
      <w:r w:rsidRPr="00BC21EB">
        <w:rPr>
          <w:b/>
          <w:bCs/>
        </w:rPr>
        <w:t xml:space="preserve">CH, update the designation of subframes </w:t>
      </w:r>
      <w:r>
        <w:rPr>
          <w:b/>
          <w:bCs/>
        </w:rPr>
        <w:t xml:space="preserve">in 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 xml:space="preserve">ed to take account of </w:t>
      </w:r>
      <w:proofErr w:type="spellStart"/>
      <w:r>
        <w:rPr>
          <w:b/>
          <w:bCs/>
        </w:rPr>
        <w:t>Koffset</w:t>
      </w:r>
      <w:proofErr w:type="spellEnd"/>
      <w:r>
        <w:rPr>
          <w:b/>
          <w:bCs/>
        </w:rPr>
        <w:t xml:space="preserve"> and TA</w:t>
      </w:r>
      <w:r w:rsidRPr="00BC21EB">
        <w:rPr>
          <w:b/>
          <w:bCs/>
        </w:rPr>
        <w:t>.</w:t>
      </w:r>
    </w:p>
    <w:p w14:paraId="47C1FB11" w14:textId="77777777" w:rsidR="00E0012F" w:rsidRDefault="00E0012F" w:rsidP="004C0DE6">
      <w:pPr>
        <w:rPr>
          <w:iCs/>
        </w:rPr>
      </w:pPr>
    </w:p>
    <w:p w14:paraId="5656888C" w14:textId="73782CD5" w:rsidR="002D685F" w:rsidRDefault="002D685F" w:rsidP="002D685F">
      <w:pPr>
        <w:pStyle w:val="Heading2"/>
      </w:pPr>
      <w:r>
        <w:t>Cases 7, 8 &amp; 9</w:t>
      </w:r>
    </w:p>
    <w:p w14:paraId="40351D19" w14:textId="77777777" w:rsidR="002D685F" w:rsidRPr="001A7C01" w:rsidRDefault="002D685F" w:rsidP="002D685F">
      <w:r w:rsidRPr="001A7C01">
        <w:t xml:space="preserve">If a NB-IoT UE is configured with higher layer parameter </w:t>
      </w:r>
      <w:proofErr w:type="spellStart"/>
      <w:r w:rsidRPr="001A7C01">
        <w:rPr>
          <w:i/>
        </w:rPr>
        <w:t>twoHARQ-ProcessesConfig</w:t>
      </w:r>
      <w:proofErr w:type="spellEnd"/>
    </w:p>
    <w:p w14:paraId="50AA17F4" w14:textId="77777777" w:rsidR="002D685F" w:rsidRPr="001A7C01" w:rsidRDefault="002D685F" w:rsidP="002D685F">
      <w:pPr>
        <w:pStyle w:val="B1"/>
      </w:pPr>
      <w:r w:rsidRPr="001A7C01">
        <w:t>-</w:t>
      </w:r>
      <w:r w:rsidRPr="001A7C01">
        <w:tab/>
        <w:t xml:space="preserve">and if the UE has a NPUSCH transmission ending in subframe </w:t>
      </w:r>
      <w:r w:rsidRPr="001A7C01">
        <w:rPr>
          <w:i/>
        </w:rPr>
        <w:t>n</w:t>
      </w:r>
      <w:r w:rsidRPr="001A7C01">
        <w:t>,</w:t>
      </w:r>
    </w:p>
    <w:p w14:paraId="2865DD9C" w14:textId="77777777" w:rsidR="002D685F" w:rsidRPr="00CF256D" w:rsidRDefault="002D685F" w:rsidP="002D685F">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66F367B6" w14:textId="77777777" w:rsidR="002D685F" w:rsidRPr="000D11C8" w:rsidRDefault="002D685F" w:rsidP="002D685F">
      <w:pPr>
        <w:pStyle w:val="B2"/>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7</w:t>
      </w:r>
      <w:r w:rsidRPr="0038014E">
        <w:rPr>
          <w:rFonts w:eastAsiaTheme="minorEastAsia"/>
          <w:color w:val="FF0000"/>
          <w:lang w:eastAsia="zh-CN"/>
        </w:rPr>
        <w:t xml:space="preserve">: </w:t>
      </w:r>
      <w:r>
        <w:rPr>
          <w:rFonts w:eastAsiaTheme="minorEastAsia"/>
          <w:color w:val="FF0000"/>
          <w:lang w:eastAsia="zh-CN"/>
        </w:rPr>
        <w:t>NPUSCH with same HARQ process when 2 HARQ configured</w:t>
      </w:r>
      <w:r>
        <w:rPr>
          <w:rFonts w:eastAsiaTheme="minorEastAsia"/>
          <w:lang w:eastAsia="zh-CN"/>
        </w:rPr>
        <w:t xml:space="preserve">] </w:t>
      </w:r>
      <w:r w:rsidRPr="001A7C01">
        <w:t xml:space="preserve">the UE is not </w:t>
      </w:r>
      <w:r w:rsidRPr="001A7C01">
        <w:rPr>
          <w:rFonts w:hint="eastAsia"/>
          <w:lang w:eastAsia="zh-CN"/>
        </w:rPr>
        <w:t>expected</w:t>
      </w:r>
      <w:r w:rsidRPr="001A7C01">
        <w:t xml:space="preserve"> to </w:t>
      </w:r>
      <w:r w:rsidRPr="000D11C8">
        <w:t>receive a</w:t>
      </w:r>
      <w:r w:rsidRPr="000D11C8">
        <w:rPr>
          <w:rFonts w:hint="eastAsia"/>
          <w:lang w:eastAsia="zh-CN"/>
        </w:rPr>
        <w:t xml:space="preserve">n NPDCCH with DCI format N0/N1 </w:t>
      </w:r>
      <w:r w:rsidRPr="000D11C8">
        <w:t>for the same HARQ process</w:t>
      </w:r>
      <w:r w:rsidRPr="000D11C8">
        <w:rPr>
          <w:rFonts w:hint="eastAsia"/>
          <w:lang w:eastAsia="zh-CN"/>
        </w:rPr>
        <w:t xml:space="preserve"> ID as the NPUSCH transmission</w:t>
      </w:r>
      <w:r w:rsidRPr="000D11C8">
        <w:t xml:space="preserve"> in any subframe starting from subframe n+1 to subframe n+</w:t>
      </w:r>
      <w:proofErr w:type="gramStart"/>
      <w:r w:rsidRPr="000D11C8">
        <w:t>3</w:t>
      </w:r>
      <w:r w:rsidRPr="000D11C8">
        <w:rPr>
          <w:i/>
        </w:rPr>
        <w:t>;</w:t>
      </w:r>
      <w:proofErr w:type="gramEnd"/>
    </w:p>
    <w:p w14:paraId="22DE9A3E" w14:textId="77777777" w:rsidR="002D685F" w:rsidRPr="000D11C8" w:rsidRDefault="002D685F" w:rsidP="002D685F">
      <w:r w:rsidRPr="000D11C8">
        <w:t xml:space="preserve">else if the UE is not using higher layer parameter </w:t>
      </w:r>
      <w:proofErr w:type="spellStart"/>
      <w:r w:rsidRPr="000D11C8">
        <w:rPr>
          <w:i/>
        </w:rPr>
        <w:t>edt</w:t>
      </w:r>
      <w:proofErr w:type="spellEnd"/>
      <w:r w:rsidRPr="000D11C8">
        <w:rPr>
          <w:i/>
        </w:rPr>
        <w:t>-Parameters</w:t>
      </w:r>
      <w:r w:rsidRPr="000D11C8">
        <w:rPr>
          <w:rFonts w:eastAsia="MS Mincho"/>
        </w:rPr>
        <w:t xml:space="preserve"> or if </w:t>
      </w:r>
      <w:r w:rsidRPr="000D11C8">
        <w:t xml:space="preserve">the UE is using higher layer parameter </w:t>
      </w:r>
      <w:proofErr w:type="spellStart"/>
      <w:r w:rsidRPr="000D11C8">
        <w:rPr>
          <w:i/>
        </w:rPr>
        <w:t>edt</w:t>
      </w:r>
      <w:proofErr w:type="spellEnd"/>
      <w:r w:rsidRPr="000D11C8">
        <w:rPr>
          <w:i/>
        </w:rPr>
        <w:t xml:space="preserve">-Parameters </w:t>
      </w:r>
      <w:r w:rsidRPr="000D11C8">
        <w:t xml:space="preserve">and </w:t>
      </w:r>
      <w:r w:rsidRPr="000D11C8">
        <w:rPr>
          <w:position w:val="-12"/>
          <w:lang w:val="en-GB"/>
        </w:rPr>
        <w:object w:dxaOrig="1200" w:dyaOrig="380" w14:anchorId="645CD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2" o:title=""/>
          </v:shape>
          <o:OLEObject Type="Embed" ProgID="Equation.DSMT4" ShapeID="_x0000_i1025" DrawAspect="Content" ObjectID="_1697660308" r:id="rId13"/>
        </w:object>
      </w:r>
      <w:r w:rsidRPr="000D11C8">
        <w:t xml:space="preserve"> </w:t>
      </w:r>
    </w:p>
    <w:p w14:paraId="50D0104B" w14:textId="77777777" w:rsidR="002D685F" w:rsidRPr="000D11C8" w:rsidRDefault="002D685F" w:rsidP="002D685F">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8: subframes after NPUSCH processing</w:t>
      </w:r>
      <w:r w:rsidRPr="000D11C8">
        <w:rPr>
          <w:rFonts w:eastAsiaTheme="minorEastAsia"/>
          <w:lang w:eastAsia="zh-CN"/>
        </w:rPr>
        <w:t xml:space="preserve">] </w:t>
      </w:r>
      <w:r w:rsidRPr="000D11C8">
        <w:t xml:space="preserve">if the NB-IoT UE has a NPUSCH transmission ending in subframe </w:t>
      </w:r>
      <w:proofErr w:type="gramStart"/>
      <w:r w:rsidRPr="000D11C8">
        <w:rPr>
          <w:i/>
        </w:rPr>
        <w:t>n</w:t>
      </w:r>
      <w:r w:rsidRPr="000D11C8">
        <w:t xml:space="preserve"> ,</w:t>
      </w:r>
      <w:proofErr w:type="gramEnd"/>
      <w:r w:rsidRPr="000D11C8">
        <w:t xml:space="preserve"> the UE is not required to monitor NPDCCH in any subframe starting from subframe </w:t>
      </w:r>
      <w:r w:rsidRPr="000D11C8">
        <w:rPr>
          <w:i/>
        </w:rPr>
        <w:t xml:space="preserve">n+1 </w:t>
      </w:r>
      <w:r w:rsidRPr="000D11C8">
        <w:t xml:space="preserve">to subframe </w:t>
      </w:r>
      <w:r w:rsidRPr="000D11C8">
        <w:rPr>
          <w:i/>
        </w:rPr>
        <w:t>n+3</w:t>
      </w:r>
      <w:r w:rsidRPr="000D11C8">
        <w:t xml:space="preserve">. </w:t>
      </w:r>
    </w:p>
    <w:p w14:paraId="590DE9EE" w14:textId="77777777" w:rsidR="002D685F" w:rsidRPr="000D11C8" w:rsidRDefault="002D685F" w:rsidP="002D685F">
      <w:pPr>
        <w:rPr>
          <w:lang w:eastAsia="zh-CN"/>
        </w:rPr>
      </w:pPr>
      <w:r w:rsidRPr="000D11C8">
        <w:rPr>
          <w:lang w:eastAsia="zh-CN"/>
        </w:rPr>
        <w:t>o</w:t>
      </w:r>
      <w:r w:rsidRPr="000D11C8">
        <w:rPr>
          <w:rFonts w:hint="eastAsia"/>
          <w:lang w:eastAsia="zh-CN"/>
        </w:rPr>
        <w:t>therwise</w:t>
      </w:r>
      <w:r w:rsidRPr="000D11C8">
        <w:rPr>
          <w:lang w:eastAsia="zh-CN"/>
        </w:rPr>
        <w:t>,</w:t>
      </w:r>
    </w:p>
    <w:p w14:paraId="05D443C1" w14:textId="77777777" w:rsidR="002D685F" w:rsidRPr="000D11C8" w:rsidRDefault="002D685F" w:rsidP="002D685F">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9: subframes after NPUSCH carrying Msg3</w:t>
      </w:r>
      <w:r w:rsidRPr="000D11C8">
        <w:rPr>
          <w:rFonts w:eastAsiaTheme="minorEastAsia"/>
          <w:lang w:eastAsia="zh-CN"/>
        </w:rPr>
        <w:t xml:space="preserve">] </w:t>
      </w:r>
      <w:r w:rsidRPr="000D11C8">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0D11C8">
        <w:t>with t</w:t>
      </w:r>
      <w:proofErr w:type="spellStart"/>
      <w:r w:rsidRPr="000D11C8">
        <w:t>ransport</w:t>
      </w:r>
      <w:proofErr w:type="spellEnd"/>
      <w:r w:rsidRPr="000D11C8">
        <w:t xml:space="preserve"> block size</w:t>
      </w:r>
      <w:r w:rsidRPr="000D11C8">
        <w:rPr>
          <w:position w:val="-14"/>
        </w:rPr>
        <w:object w:dxaOrig="720" w:dyaOrig="340" w14:anchorId="59F0DF1A">
          <v:shape id="_x0000_i1026" type="#_x0000_t75" style="width:36.75pt;height:14.25pt" o:ole="">
            <v:imagedata r:id="rId14" o:title=""/>
          </v:shape>
          <o:OLEObject Type="Embed" ProgID="Equation.DSMT4" ShapeID="_x0000_i1026" DrawAspect="Content" ObjectID="_1697660309" r:id="rId15"/>
        </w:object>
      </w:r>
      <w:r w:rsidRPr="000D11C8">
        <w:t xml:space="preserve"> , whereas if </w:t>
      </w:r>
      <w:r w:rsidRPr="000D11C8">
        <w:rPr>
          <w:position w:val="-14"/>
        </w:rPr>
        <w:object w:dxaOrig="1020" w:dyaOrig="340" w14:anchorId="08ABC1C3">
          <v:shape id="_x0000_i1027" type="#_x0000_t75" style="width:50.25pt;height:14.25pt" o:ole="">
            <v:imagedata r:id="rId16" o:title=""/>
          </v:shape>
          <o:OLEObject Type="Embed" ProgID="Equation.DSMT4" ShapeID="_x0000_i1027" DrawAspect="Content" ObjectID="_1697660310" r:id="rId17"/>
        </w:object>
      </w:r>
      <w:r w:rsidRPr="000D11C8">
        <w:t xml:space="preserve">would have been selected the NPUSCH transmission would have ended in subframe </w:t>
      </w:r>
      <w:r w:rsidRPr="000D11C8">
        <w:rPr>
          <w:i/>
        </w:rPr>
        <w:t>n</w:t>
      </w:r>
      <w:r w:rsidRPr="000D11C8">
        <w:t xml:space="preserve">, the UE is not required to monitor NPDCCH in any subframe starting from subframe </w:t>
      </w:r>
      <w:r w:rsidRPr="000D11C8">
        <w:rPr>
          <w:i/>
        </w:rPr>
        <w:t xml:space="preserve">n'+1 </w:t>
      </w:r>
      <w:r w:rsidRPr="000D11C8">
        <w:t xml:space="preserve">to subframe </w:t>
      </w:r>
      <w:r w:rsidRPr="000D11C8">
        <w:rPr>
          <w:i/>
        </w:rPr>
        <w:t>n+3</w:t>
      </w:r>
      <w:r w:rsidRPr="000D11C8">
        <w:t xml:space="preserve">. </w:t>
      </w:r>
    </w:p>
    <w:p w14:paraId="5B64CAF7" w14:textId="1C0377A6" w:rsidR="00DA393F" w:rsidRPr="000D11C8" w:rsidRDefault="00DA393F" w:rsidP="00DA393F">
      <w:pPr>
        <w:pStyle w:val="Heading3"/>
      </w:pPr>
      <w:r w:rsidRPr="000D11C8">
        <w:t>Cases 7 – 9: Discussion</w:t>
      </w:r>
    </w:p>
    <w:p w14:paraId="756C9982" w14:textId="21BA11FF" w:rsidR="009E6144" w:rsidRDefault="00DA393F" w:rsidP="009E6144">
      <w:pPr>
        <w:rPr>
          <w:iCs/>
        </w:rPr>
      </w:pPr>
      <w:r>
        <w:rPr>
          <w:iCs/>
        </w:rPr>
        <w:t xml:space="preserve">In case 7, a UE that transmits a NPUSCH for a given HARQ process ID should not expect </w:t>
      </w:r>
      <w:r w:rsidR="00163A36">
        <w:rPr>
          <w:iCs/>
        </w:rPr>
        <w:t>a DCI scheduling another NPUSCH with the same HARQ ID in the 3 subframes following the transmission of the NPUSCH.</w:t>
      </w:r>
      <w:r w:rsidR="009E6144">
        <w:rPr>
          <w:iCs/>
        </w:rPr>
        <w:t xml:space="preserve"> In IoT NTN, when the NPUSCH transmission ends in a subframe </w:t>
      </w:r>
      <w:r w:rsidR="009E6144" w:rsidRPr="009E6144">
        <w:rPr>
          <w:i/>
        </w:rPr>
        <w:t>n</w:t>
      </w:r>
      <w:r w:rsidR="009E6144">
        <w:rPr>
          <w:iCs/>
        </w:rPr>
        <w:t xml:space="preserve">, the UE will know not to monitor NPDCCH from </w:t>
      </w:r>
      <w:r w:rsidR="009E6144" w:rsidRPr="001A7C01">
        <w:t xml:space="preserve">subframe </w:t>
      </w:r>
      <w:r w:rsidR="009E6144" w:rsidRPr="009E6144">
        <w:t>n+1</w:t>
      </w:r>
      <w:r w:rsidR="009E6144" w:rsidRPr="001A7C01">
        <w:t xml:space="preserve"> to subframe </w:t>
      </w:r>
      <w:r w:rsidR="009E6144" w:rsidRPr="009E6144">
        <w:t>n+3</w:t>
      </w:r>
      <w:r w:rsidR="009E6144">
        <w:rPr>
          <w:iCs/>
        </w:rPr>
        <w:t>. Therefore, the subframes in which NPDCCH monitoring restrictions should apply do not need changing.</w:t>
      </w:r>
    </w:p>
    <w:p w14:paraId="7A511F34" w14:textId="28FF4029" w:rsidR="009E6144" w:rsidRDefault="009E6144" w:rsidP="009E6144">
      <w:pPr>
        <w:rPr>
          <w:iCs/>
        </w:rPr>
      </w:pPr>
      <w:r>
        <w:rPr>
          <w:iCs/>
        </w:rPr>
        <w:t xml:space="preserve">Cases </w:t>
      </w:r>
      <w:r w:rsidR="00B002F0">
        <w:rPr>
          <w:iCs/>
        </w:rPr>
        <w:t>8</w:t>
      </w:r>
      <w:r>
        <w:rPr>
          <w:iCs/>
        </w:rPr>
        <w:t xml:space="preserve"> and 9 are </w:t>
      </w:r>
      <w:proofErr w:type="gramStart"/>
      <w:r>
        <w:rPr>
          <w:iCs/>
        </w:rPr>
        <w:t>similar to</w:t>
      </w:r>
      <w:proofErr w:type="gramEnd"/>
      <w:r>
        <w:rPr>
          <w:iCs/>
        </w:rPr>
        <w:t xml:space="preserve"> case 7. The UE knows the last subframe </w:t>
      </w:r>
      <w:r w:rsidRPr="009E6144">
        <w:rPr>
          <w:i/>
        </w:rPr>
        <w:t>n</w:t>
      </w:r>
      <w:r>
        <w:rPr>
          <w:iCs/>
        </w:rPr>
        <w:t xml:space="preserve"> of the </w:t>
      </w:r>
      <w:r w:rsidR="00B002F0">
        <w:rPr>
          <w:iCs/>
        </w:rPr>
        <w:t xml:space="preserve">NPUSCH </w:t>
      </w:r>
      <w:r>
        <w:rPr>
          <w:iCs/>
        </w:rPr>
        <w:t>transmission</w:t>
      </w:r>
      <w:r w:rsidR="00B002F0">
        <w:rPr>
          <w:iCs/>
        </w:rPr>
        <w:t xml:space="preserve"> in each case and so knows which subframes during which not to monitor NPDCCH as per current specifications</w:t>
      </w:r>
      <w:r>
        <w:rPr>
          <w:iCs/>
        </w:rPr>
        <w:t>. Therefore, the subframes in which NPDCCH monitoring restrictions should apply do not need changing.</w:t>
      </w:r>
    </w:p>
    <w:p w14:paraId="6D8D071B" w14:textId="79617A8E" w:rsidR="002D685F" w:rsidRPr="009E6144" w:rsidRDefault="009E6144" w:rsidP="004C0DE6">
      <w:pPr>
        <w:pStyle w:val="Heading2"/>
      </w:pPr>
      <w:r>
        <w:lastRenderedPageBreak/>
        <w:t>Cases 10 &amp; 11</w:t>
      </w:r>
    </w:p>
    <w:p w14:paraId="6ED96726" w14:textId="77777777" w:rsidR="009E6144" w:rsidRPr="000D11C8" w:rsidRDefault="009E6144" w:rsidP="009E6144">
      <w:r w:rsidRPr="000D11C8">
        <w:t xml:space="preserve">For an NB-IoT UE configured with higher layer parameter </w:t>
      </w:r>
      <w:proofErr w:type="spellStart"/>
      <w:r w:rsidRPr="000D11C8">
        <w:rPr>
          <w:i/>
        </w:rPr>
        <w:t>sr</w:t>
      </w:r>
      <w:proofErr w:type="spellEnd"/>
      <w:r w:rsidRPr="000D11C8">
        <w:rPr>
          <w:i/>
        </w:rPr>
        <w:t>-</w:t>
      </w:r>
      <w:proofErr w:type="spellStart"/>
      <w:r w:rsidRPr="000D11C8">
        <w:rPr>
          <w:i/>
        </w:rPr>
        <w:t>WithoutHARQ</w:t>
      </w:r>
      <w:proofErr w:type="spellEnd"/>
      <w:r w:rsidRPr="000D11C8">
        <w:rPr>
          <w:i/>
        </w:rPr>
        <w:t>-ACK-Config</w:t>
      </w:r>
      <w:r w:rsidRPr="000D11C8">
        <w:t xml:space="preserve">, if the transmission of a narrowband </w:t>
      </w:r>
      <w:proofErr w:type="gramStart"/>
      <w:r w:rsidRPr="000D11C8">
        <w:t>random access</w:t>
      </w:r>
      <w:proofErr w:type="gramEnd"/>
      <w:r w:rsidRPr="000D11C8">
        <w:t xml:space="preserve"> preamble for SR ends on subframe </w:t>
      </w:r>
      <w:r w:rsidRPr="000D11C8">
        <w:rPr>
          <w:i/>
        </w:rPr>
        <w:t>n</w:t>
      </w:r>
      <w:r w:rsidRPr="000D11C8">
        <w:t>,</w:t>
      </w:r>
    </w:p>
    <w:p w14:paraId="2557155E" w14:textId="77777777" w:rsidR="009E6144" w:rsidRPr="000D11C8" w:rsidRDefault="009E6144" w:rsidP="009E6144">
      <w:pPr>
        <w:pStyle w:val="B1"/>
      </w:pPr>
      <w:r w:rsidRPr="000D11C8">
        <w:rPr>
          <w:lang w:eastAsia="zh-CN"/>
        </w:rPr>
        <w:t>-</w:t>
      </w:r>
      <w:r w:rsidRPr="000D11C8">
        <w:rPr>
          <w:lang w:eastAsia="zh-CN"/>
        </w:rPr>
        <w:tab/>
      </w:r>
      <w:r w:rsidRPr="000D11C8">
        <w:rPr>
          <w:rFonts w:eastAsiaTheme="minorEastAsia"/>
          <w:lang w:eastAsia="zh-CN"/>
        </w:rPr>
        <w:t>[</w:t>
      </w:r>
      <w:r w:rsidRPr="000D11C8">
        <w:rPr>
          <w:rFonts w:eastAsiaTheme="minorEastAsia"/>
          <w:color w:val="FF0000"/>
          <w:lang w:eastAsia="zh-CN"/>
        </w:rPr>
        <w:t>case 10: NPRACH for SR for long NPRACH transmissions</w:t>
      </w:r>
      <w:r w:rsidRPr="000D11C8">
        <w:rPr>
          <w:rFonts w:eastAsiaTheme="minorEastAsia"/>
          <w:lang w:eastAsia="zh-CN"/>
        </w:rPr>
        <w:t xml:space="preserve">] </w:t>
      </w:r>
      <w:r w:rsidRPr="000D11C8">
        <w:rPr>
          <w:lang w:eastAsia="zh-CN"/>
        </w:rPr>
        <w:t>i</w:t>
      </w:r>
      <w:r w:rsidRPr="000D11C8">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0D11C8">
        <w:rPr>
          <w:i/>
        </w:rPr>
        <w:t>n</w:t>
      </w:r>
      <w:r w:rsidRPr="000D11C8">
        <w:t xml:space="preserve"> to subframe </w:t>
      </w:r>
      <w:r w:rsidRPr="000D11C8">
        <w:rPr>
          <w:i/>
        </w:rPr>
        <w:t>n</w:t>
      </w:r>
      <w:r w:rsidRPr="000D11C8">
        <w:t>+</w:t>
      </w:r>
      <w:r w:rsidRPr="000D11C8">
        <w:rPr>
          <w:i/>
        </w:rPr>
        <w:t>40</w:t>
      </w:r>
      <w:r w:rsidRPr="000D11C8">
        <w:t>,</w:t>
      </w:r>
    </w:p>
    <w:p w14:paraId="18DB74AB" w14:textId="77777777" w:rsidR="009E6144" w:rsidRDefault="009E6144" w:rsidP="009E6144">
      <w:pPr>
        <w:pStyle w:val="B1"/>
      </w:pPr>
      <w:r w:rsidRPr="000D11C8">
        <w:rPr>
          <w:lang w:eastAsia="zh-CN"/>
        </w:rPr>
        <w:t>-</w:t>
      </w:r>
      <w:r w:rsidRPr="000D11C8">
        <w:rPr>
          <w:lang w:eastAsia="zh-CN"/>
        </w:rPr>
        <w:tab/>
        <w:t>otherwise</w:t>
      </w:r>
      <w:r w:rsidRPr="000D11C8">
        <w:t xml:space="preserve">, </w:t>
      </w:r>
      <w:r w:rsidRPr="000D11C8">
        <w:rPr>
          <w:rFonts w:eastAsiaTheme="minorEastAsia"/>
          <w:lang w:eastAsia="zh-CN"/>
        </w:rPr>
        <w:t>[</w:t>
      </w:r>
      <w:r w:rsidRPr="000D11C8">
        <w:rPr>
          <w:rFonts w:eastAsiaTheme="minorEastAsia"/>
          <w:color w:val="FF0000"/>
          <w:lang w:eastAsia="zh-CN"/>
        </w:rPr>
        <w:t>case 11: NPRACH for SR for short NPRACH transmissions</w:t>
      </w:r>
      <w:r w:rsidRPr="000D11C8">
        <w:rPr>
          <w:rFonts w:eastAsiaTheme="minorEastAsia"/>
          <w:lang w:eastAsia="zh-CN"/>
        </w:rPr>
        <w:t xml:space="preserve">] </w:t>
      </w:r>
      <w:r w:rsidRPr="000D11C8">
        <w:t xml:space="preserve">the UE is not required to monitor NPDCCH UE-specific search space from subframe </w:t>
      </w:r>
      <w:r w:rsidRPr="000D11C8">
        <w:rPr>
          <w:i/>
        </w:rPr>
        <w:t>n</w:t>
      </w:r>
      <w:r w:rsidRPr="000D11C8">
        <w:t xml:space="preserve"> to subframe </w:t>
      </w:r>
      <w:r w:rsidRPr="000D11C8">
        <w:rPr>
          <w:i/>
        </w:rPr>
        <w:t>n</w:t>
      </w:r>
      <w:r w:rsidRPr="000D11C8">
        <w:t>+</w:t>
      </w:r>
      <w:r w:rsidRPr="000D11C8">
        <w:rPr>
          <w:i/>
        </w:rPr>
        <w:t>3</w:t>
      </w:r>
      <w:r w:rsidRPr="000D11C8">
        <w:t>.</w:t>
      </w:r>
    </w:p>
    <w:p w14:paraId="53D1BFBF" w14:textId="5D55970A" w:rsidR="00B002F0" w:rsidRDefault="00B002F0" w:rsidP="00B002F0">
      <w:pPr>
        <w:pStyle w:val="Heading3"/>
      </w:pPr>
      <w:r>
        <w:t>Cases 10 &amp; 11: Discussion</w:t>
      </w:r>
    </w:p>
    <w:p w14:paraId="33D7C502" w14:textId="0DFD7BB4" w:rsidR="00B002F0" w:rsidRDefault="00B002F0" w:rsidP="00B002F0">
      <w:pPr>
        <w:rPr>
          <w:iCs/>
        </w:rPr>
      </w:pPr>
      <w:r>
        <w:rPr>
          <w:iCs/>
        </w:rPr>
        <w:t xml:space="preserve">Cases 10 and 11 are </w:t>
      </w:r>
      <w:proofErr w:type="gramStart"/>
      <w:r>
        <w:rPr>
          <w:iCs/>
        </w:rPr>
        <w:t>similar to</w:t>
      </w:r>
      <w:proofErr w:type="gramEnd"/>
      <w:r>
        <w:rPr>
          <w:iCs/>
        </w:rPr>
        <w:t xml:space="preserve"> case 7, 8 and 9. The UE knows the last subframe </w:t>
      </w:r>
      <w:r w:rsidRPr="009E6144">
        <w:rPr>
          <w:i/>
        </w:rPr>
        <w:t>n</w:t>
      </w:r>
      <w:r>
        <w:rPr>
          <w:iCs/>
        </w:rPr>
        <w:t xml:space="preserve"> of the NPRACH transmission in each case and so knows which subframes during which not to monitor NPDCCH as per current specifications. Therefore, the subframes in which NPDCCH monitoring restrictions should apply do not need changing.</w:t>
      </w:r>
    </w:p>
    <w:p w14:paraId="6236E418" w14:textId="77777777" w:rsidR="009E6144" w:rsidRDefault="009E6144" w:rsidP="004C0DE6">
      <w:pPr>
        <w:rPr>
          <w:iCs/>
        </w:rPr>
      </w:pPr>
    </w:p>
    <w:p w14:paraId="66C8E5FD" w14:textId="18350DF3" w:rsidR="00E0012F" w:rsidRDefault="00E0012F" w:rsidP="00E0012F">
      <w:pPr>
        <w:pStyle w:val="Heading1"/>
        <w:rPr>
          <w:i/>
          <w:iCs/>
        </w:rPr>
      </w:pPr>
      <w:r>
        <w:rPr>
          <w:i/>
          <w:iCs/>
        </w:rPr>
        <w:t>UE-Specific TA Reporting</w:t>
      </w:r>
    </w:p>
    <w:p w14:paraId="2A9B3035" w14:textId="76930826" w:rsidR="00E0012F" w:rsidRDefault="00E0012F" w:rsidP="00E0012F">
      <w:pPr>
        <w:rPr>
          <w:lang w:eastAsia="x-none"/>
        </w:rPr>
      </w:pPr>
      <w:r>
        <w:rPr>
          <w:lang w:eastAsia="x-none"/>
        </w:rPr>
        <w:t>The issue of configuration of the UE-specific TA was widely discussed at</w:t>
      </w:r>
      <w:r w:rsidR="00937BBB">
        <w:rPr>
          <w:lang w:eastAsia="x-none"/>
        </w:rPr>
        <w:t xml:space="preserve"> both</w:t>
      </w:r>
      <w:r>
        <w:rPr>
          <w:lang w:eastAsia="x-none"/>
        </w:rPr>
        <w:t xml:space="preserve"> RAN1#106e</w:t>
      </w:r>
      <w:r w:rsidR="00937BBB">
        <w:rPr>
          <w:lang w:eastAsia="x-none"/>
        </w:rPr>
        <w:t xml:space="preserve"> and RAN1#106bise</w:t>
      </w:r>
      <w:r>
        <w:rPr>
          <w:lang w:eastAsia="x-none"/>
        </w:rPr>
        <w:t xml:space="preserve">. Some companies argued that the UE-specific TA can be derived by the network from knowledge of the UE location. Accordingly, they argued that the UE-location should be transmitted to the </w:t>
      </w:r>
      <w:proofErr w:type="spellStart"/>
      <w:r>
        <w:rPr>
          <w:lang w:eastAsia="x-none"/>
        </w:rPr>
        <w:t>eNodeB</w:t>
      </w:r>
      <w:proofErr w:type="spellEnd"/>
      <w:r>
        <w:rPr>
          <w:lang w:eastAsia="x-none"/>
        </w:rPr>
        <w:t xml:space="preserve"> for this purpose. Signaling the UE location has the following advantages:</w:t>
      </w:r>
    </w:p>
    <w:p w14:paraId="1E95237E" w14:textId="77777777" w:rsidR="00E0012F" w:rsidRDefault="00E0012F" w:rsidP="00E0012F">
      <w:pPr>
        <w:pStyle w:val="ListParagraph"/>
        <w:numPr>
          <w:ilvl w:val="0"/>
          <w:numId w:val="36"/>
        </w:numPr>
        <w:rPr>
          <w:rFonts w:ascii="Times New Roman" w:hAnsi="Times New Roman" w:cs="Times New Roman"/>
          <w:sz w:val="22"/>
          <w:szCs w:val="22"/>
          <w:lang w:eastAsia="x-none"/>
        </w:rPr>
      </w:pPr>
      <w:r>
        <w:rPr>
          <w:rFonts w:ascii="Times New Roman" w:hAnsi="Times New Roman" w:cs="Times New Roman"/>
          <w:sz w:val="22"/>
          <w:szCs w:val="22"/>
          <w:lang w:eastAsia="x-none"/>
        </w:rPr>
        <w:t>The location report can be coarse thereby reducing the number of bits needed for signaling</w:t>
      </w:r>
    </w:p>
    <w:p w14:paraId="5A7F6220" w14:textId="77777777" w:rsidR="00E0012F" w:rsidRDefault="00E0012F" w:rsidP="00E0012F">
      <w:pPr>
        <w:pStyle w:val="ListParagraph"/>
        <w:numPr>
          <w:ilvl w:val="0"/>
          <w:numId w:val="36"/>
        </w:numPr>
        <w:rPr>
          <w:rFonts w:ascii="Times New Roman" w:hAnsi="Times New Roman" w:cs="Times New Roman"/>
          <w:sz w:val="22"/>
          <w:szCs w:val="22"/>
          <w:lang w:eastAsia="x-none"/>
        </w:rPr>
      </w:pPr>
      <w:r>
        <w:rPr>
          <w:rFonts w:ascii="Times New Roman" w:hAnsi="Times New Roman" w:cs="Times New Roman"/>
          <w:sz w:val="22"/>
          <w:szCs w:val="22"/>
          <w:lang w:eastAsia="x-none"/>
        </w:rPr>
        <w:t>Frequency of signaling can be reduced since the UE speed is relatively low compared to the orbital speed of the satellite and especially for stationary UEs.</w:t>
      </w:r>
    </w:p>
    <w:p w14:paraId="63E45F28" w14:textId="01AC7E4A" w:rsidR="00E0012F" w:rsidRDefault="00E0012F" w:rsidP="00E0012F">
      <w:pPr>
        <w:pStyle w:val="ListParagraph"/>
        <w:numPr>
          <w:ilvl w:val="0"/>
          <w:numId w:val="36"/>
        </w:numPr>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UE position is needed for other purposes such as paging, control of service provision if the UE is in a territory in which NTN is not licensed – since the satellite footprint can cross geographical boundaries </w:t>
      </w:r>
      <w:proofErr w:type="spellStart"/>
      <w:r>
        <w:rPr>
          <w:rFonts w:ascii="Times New Roman" w:hAnsi="Times New Roman" w:cs="Times New Roman"/>
          <w:sz w:val="22"/>
          <w:szCs w:val="22"/>
          <w:lang w:eastAsia="x-none"/>
        </w:rPr>
        <w:t>etc</w:t>
      </w:r>
      <w:proofErr w:type="spellEnd"/>
    </w:p>
    <w:p w14:paraId="51758053" w14:textId="7B6CBC48" w:rsidR="00937BBB" w:rsidRDefault="00937BBB" w:rsidP="00E0012F">
      <w:pPr>
        <w:pStyle w:val="ListParagraph"/>
        <w:numPr>
          <w:ilvl w:val="0"/>
          <w:numId w:val="36"/>
        </w:numPr>
        <w:rPr>
          <w:rFonts w:ascii="Times New Roman" w:hAnsi="Times New Roman" w:cs="Times New Roman"/>
          <w:sz w:val="22"/>
          <w:szCs w:val="22"/>
          <w:lang w:eastAsia="x-none"/>
        </w:rPr>
      </w:pPr>
      <w:r>
        <w:rPr>
          <w:rFonts w:ascii="Times New Roman" w:hAnsi="Times New Roman" w:cs="Times New Roman"/>
          <w:sz w:val="22"/>
          <w:szCs w:val="22"/>
          <w:lang w:eastAsia="x-none"/>
        </w:rPr>
        <w:t>Designation of subframes with NPDCCH monitoring restrictions in NB-IoT.</w:t>
      </w:r>
    </w:p>
    <w:p w14:paraId="4B237332" w14:textId="77777777" w:rsidR="00E0012F" w:rsidRDefault="00E0012F" w:rsidP="00E0012F">
      <w:pPr>
        <w:rPr>
          <w:lang w:eastAsia="x-none"/>
        </w:rPr>
      </w:pPr>
    </w:p>
    <w:p w14:paraId="2A07340F" w14:textId="6E39AE9C" w:rsidR="00E0012F" w:rsidRDefault="00E0012F" w:rsidP="00E0012F">
      <w:pPr>
        <w:rPr>
          <w:lang w:eastAsia="x-none"/>
        </w:rPr>
      </w:pPr>
      <w:r>
        <w:rPr>
          <w:lang w:eastAsia="x-none"/>
        </w:rPr>
        <w:t xml:space="preserve">Companies supporting signaling of the UE-specific </w:t>
      </w:r>
      <w:r w:rsidR="000E4957">
        <w:rPr>
          <w:lang w:eastAsia="x-none"/>
        </w:rPr>
        <w:t xml:space="preserve">TA </w:t>
      </w:r>
      <w:r w:rsidR="00937BBB">
        <w:rPr>
          <w:lang w:eastAsia="x-none"/>
        </w:rPr>
        <w:t>as a delay</w:t>
      </w:r>
      <w:r>
        <w:rPr>
          <w:lang w:eastAsia="x-none"/>
        </w:rPr>
        <w:t xml:space="preserve"> value argued that:</w:t>
      </w:r>
    </w:p>
    <w:p w14:paraId="7164F6B1" w14:textId="77777777" w:rsidR="00E0012F" w:rsidRDefault="00E0012F" w:rsidP="00E0012F">
      <w:pPr>
        <w:pStyle w:val="ListParagraph"/>
        <w:numPr>
          <w:ilvl w:val="0"/>
          <w:numId w:val="37"/>
        </w:numPr>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There are security implications to transmitting the location of the UE </w:t>
      </w:r>
    </w:p>
    <w:p w14:paraId="4958DCEF" w14:textId="77777777" w:rsidR="00E0012F" w:rsidRDefault="00E0012F" w:rsidP="00E0012F">
      <w:pPr>
        <w:pStyle w:val="ListParagraph"/>
        <w:numPr>
          <w:ilvl w:val="0"/>
          <w:numId w:val="37"/>
        </w:numPr>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The number of bits needed for </w:t>
      </w:r>
      <w:proofErr w:type="spellStart"/>
      <w:r>
        <w:rPr>
          <w:rFonts w:ascii="Times New Roman" w:hAnsi="Times New Roman" w:cs="Times New Roman"/>
          <w:sz w:val="22"/>
          <w:szCs w:val="22"/>
          <w:lang w:eastAsia="x-none"/>
        </w:rPr>
        <w:t>signalling</w:t>
      </w:r>
      <w:proofErr w:type="spellEnd"/>
      <w:r>
        <w:rPr>
          <w:rFonts w:ascii="Times New Roman" w:hAnsi="Times New Roman" w:cs="Times New Roman"/>
          <w:sz w:val="22"/>
          <w:szCs w:val="22"/>
          <w:lang w:eastAsia="x-none"/>
        </w:rPr>
        <w:t xml:space="preserve"> can be reduced by </w:t>
      </w:r>
      <w:proofErr w:type="spellStart"/>
      <w:r>
        <w:rPr>
          <w:rFonts w:ascii="Times New Roman" w:hAnsi="Times New Roman" w:cs="Times New Roman"/>
          <w:sz w:val="22"/>
          <w:szCs w:val="22"/>
          <w:lang w:eastAsia="x-none"/>
        </w:rPr>
        <w:t>signalling</w:t>
      </w:r>
      <w:proofErr w:type="spellEnd"/>
      <w:r>
        <w:rPr>
          <w:rFonts w:ascii="Times New Roman" w:hAnsi="Times New Roman" w:cs="Times New Roman"/>
          <w:sz w:val="22"/>
          <w:szCs w:val="22"/>
          <w:lang w:eastAsia="x-none"/>
        </w:rPr>
        <w:t xml:space="preserve"> delta of the TA from the previous TA instead of the full TA.</w:t>
      </w:r>
    </w:p>
    <w:p w14:paraId="7120A7BF" w14:textId="7F2A09E7" w:rsidR="00E0012F" w:rsidRDefault="00E0012F" w:rsidP="00464FC3">
      <w:pPr>
        <w:rPr>
          <w:lang w:eastAsia="x-none"/>
        </w:rPr>
      </w:pPr>
    </w:p>
    <w:p w14:paraId="0ACAD6D6" w14:textId="55B49371" w:rsidR="00464FC3" w:rsidRDefault="00464FC3" w:rsidP="00464FC3">
      <w:pPr>
        <w:rPr>
          <w:lang w:eastAsia="x-none"/>
        </w:rPr>
      </w:pPr>
      <w:r>
        <w:rPr>
          <w:lang w:eastAsia="x-none"/>
        </w:rPr>
        <w:t xml:space="preserve">Some companies have argued that IoT NTN should adopt the solutions agreed for NR NTN with respect to UE-specific TA reporting. Other companies have countered that the lower frequency of reporting for UE location is more useful for IoT NTN than for NR NTN because of its power saving benefits. </w:t>
      </w:r>
    </w:p>
    <w:p w14:paraId="7C4F94B5" w14:textId="6B432592" w:rsidR="00464FC3" w:rsidRPr="00B7661D" w:rsidRDefault="00464FC3" w:rsidP="00464FC3">
      <w:pPr>
        <w:rPr>
          <w:lang w:eastAsia="x-none"/>
        </w:rPr>
      </w:pPr>
      <w:r>
        <w:rPr>
          <w:lang w:eastAsia="x-none"/>
        </w:rPr>
        <w:t xml:space="preserve">RAN2#115-e </w:t>
      </w:r>
      <w:r w:rsidR="009955B7">
        <w:rPr>
          <w:lang w:eastAsia="x-none"/>
        </w:rPr>
        <w:t xml:space="preserve">made the following </w:t>
      </w:r>
      <w:r>
        <w:rPr>
          <w:lang w:eastAsia="x-none"/>
        </w:rPr>
        <w:t>a</w:t>
      </w:r>
      <w:r w:rsidRPr="00C338A2">
        <w:rPr>
          <w:lang w:eastAsia="x-none"/>
        </w:rPr>
        <w:t>greement</w:t>
      </w:r>
      <w:r w:rsidR="00743E3D">
        <w:rPr>
          <w:lang w:eastAsia="x-none"/>
        </w:rPr>
        <w:t>s</w:t>
      </w:r>
      <w:r w:rsidRPr="00C338A2">
        <w:rPr>
          <w:lang w:eastAsia="x-none"/>
        </w:rPr>
        <w:t>:</w:t>
      </w:r>
    </w:p>
    <w:p w14:paraId="1408E109" w14:textId="77777777" w:rsidR="00464FC3" w:rsidRPr="00484430" w:rsidRDefault="00464FC3" w:rsidP="00464FC3">
      <w:pPr>
        <w:pStyle w:val="ListParagraph"/>
        <w:numPr>
          <w:ilvl w:val="0"/>
          <w:numId w:val="41"/>
        </w:numPr>
        <w:overflowPunct w:val="0"/>
        <w:autoSpaceDE w:val="0"/>
        <w:autoSpaceDN w:val="0"/>
        <w:adjustRightInd w:val="0"/>
        <w:spacing w:after="120"/>
        <w:contextualSpacing/>
        <w:textAlignment w:val="baseline"/>
        <w:rPr>
          <w:rFonts w:ascii="Times New Roman" w:hAnsi="Times New Roman"/>
        </w:rPr>
      </w:pPr>
      <w:r w:rsidRPr="00484430">
        <w:rPr>
          <w:rFonts w:ascii="Times New Roman" w:hAnsi="Times New Roman"/>
        </w:rPr>
        <w:t>Under the work assumption "the UE location information cannot be reported in connected mode", the content of UE specific TA reported in connected mode is UE specific TA pre-</w:t>
      </w:r>
      <w:proofErr w:type="gramStart"/>
      <w:r w:rsidRPr="00484430">
        <w:rPr>
          <w:rFonts w:ascii="Times New Roman" w:hAnsi="Times New Roman"/>
        </w:rPr>
        <w:t>compensation(</w:t>
      </w:r>
      <w:proofErr w:type="gramEnd"/>
      <w:r w:rsidRPr="00484430">
        <w:rPr>
          <w:rFonts w:ascii="Times New Roman" w:hAnsi="Times New Roman"/>
        </w:rPr>
        <w:t>for the details of the TA value, confirmation from RAN1 is needed).</w:t>
      </w:r>
    </w:p>
    <w:p w14:paraId="33ADE4B8" w14:textId="2AA3800D" w:rsidR="00464FC3" w:rsidRDefault="00464FC3" w:rsidP="00464FC3">
      <w:pPr>
        <w:pStyle w:val="ListParagraph"/>
        <w:numPr>
          <w:ilvl w:val="0"/>
          <w:numId w:val="41"/>
        </w:numPr>
        <w:overflowPunct w:val="0"/>
        <w:autoSpaceDE w:val="0"/>
        <w:autoSpaceDN w:val="0"/>
        <w:adjustRightInd w:val="0"/>
        <w:spacing w:after="120"/>
        <w:contextualSpacing/>
        <w:textAlignment w:val="baseline"/>
        <w:rPr>
          <w:rFonts w:ascii="Times New Roman" w:hAnsi="Times New Roman"/>
        </w:rPr>
      </w:pPr>
      <w:r w:rsidRPr="00484430">
        <w:rPr>
          <w:rFonts w:ascii="Times New Roman" w:hAnsi="Times New Roman"/>
        </w:rPr>
        <w:t xml:space="preserve">If the reported content of information about UE specific TA is UE location information in connected mode, RRC </w:t>
      </w:r>
      <w:proofErr w:type="spellStart"/>
      <w:r w:rsidRPr="00484430">
        <w:rPr>
          <w:rFonts w:ascii="Times New Roman" w:hAnsi="Times New Roman"/>
        </w:rPr>
        <w:t>signalling</w:t>
      </w:r>
      <w:proofErr w:type="spellEnd"/>
      <w:r w:rsidRPr="00484430">
        <w:rPr>
          <w:rFonts w:ascii="Times New Roman" w:hAnsi="Times New Roman"/>
        </w:rPr>
        <w:t xml:space="preserve"> is used to report.</w:t>
      </w:r>
    </w:p>
    <w:p w14:paraId="4586BACA" w14:textId="77777777" w:rsidR="00464FC3" w:rsidRPr="00484430" w:rsidRDefault="00464FC3" w:rsidP="00464FC3">
      <w:pPr>
        <w:pStyle w:val="ListParagraph"/>
        <w:numPr>
          <w:ilvl w:val="0"/>
          <w:numId w:val="41"/>
        </w:numPr>
        <w:overflowPunct w:val="0"/>
        <w:autoSpaceDE w:val="0"/>
        <w:autoSpaceDN w:val="0"/>
        <w:adjustRightInd w:val="0"/>
        <w:spacing w:after="120"/>
        <w:contextualSpacing/>
        <w:textAlignment w:val="baseline"/>
        <w:rPr>
          <w:rFonts w:ascii="Times New Roman" w:hAnsi="Times New Roman"/>
        </w:rPr>
      </w:pPr>
      <w:r w:rsidRPr="00484430">
        <w:rPr>
          <w:rFonts w:ascii="Times New Roman" w:hAnsi="Times New Roman"/>
        </w:rPr>
        <w:t>pre-compensation (for the details of the TA value, confirmation from RAN1 is needed) or the UE location information</w:t>
      </w:r>
    </w:p>
    <w:p w14:paraId="58A63BC3" w14:textId="6C2FB13E" w:rsidR="00464FC3" w:rsidRPr="004204E0" w:rsidRDefault="00464FC3" w:rsidP="00464FC3">
      <w:pPr>
        <w:pStyle w:val="ListParagraph"/>
        <w:numPr>
          <w:ilvl w:val="0"/>
          <w:numId w:val="41"/>
        </w:numPr>
        <w:overflowPunct w:val="0"/>
        <w:autoSpaceDE w:val="0"/>
        <w:autoSpaceDN w:val="0"/>
        <w:adjustRightInd w:val="0"/>
        <w:spacing w:after="120"/>
        <w:contextualSpacing/>
        <w:textAlignment w:val="baseline"/>
        <w:rPr>
          <w:rFonts w:ascii="Times New Roman" w:hAnsi="Times New Roman"/>
        </w:rPr>
      </w:pPr>
      <w:r w:rsidRPr="00464FC3">
        <w:rPr>
          <w:rFonts w:ascii="Times New Roman" w:hAnsi="Times New Roman"/>
          <w:u w:val="single"/>
        </w:rPr>
        <w:t>Working Assumption:</w:t>
      </w:r>
      <w:r w:rsidRPr="00464FC3">
        <w:rPr>
          <w:rFonts w:ascii="Times New Roman" w:hAnsi="Times New Roman"/>
        </w:rPr>
        <w:t xml:space="preserve"> If the reported content of information about UE specific TA is TA pre-compensation value in connected mode, MAC CE is used to report</w:t>
      </w:r>
    </w:p>
    <w:p w14:paraId="1BCB6B57" w14:textId="1CE0843C" w:rsidR="004204E0" w:rsidRDefault="004204E0" w:rsidP="004204E0">
      <w:pPr>
        <w:rPr>
          <w:lang w:eastAsia="x-none"/>
        </w:rPr>
      </w:pPr>
      <w:r>
        <w:rPr>
          <w:lang w:eastAsia="x-none"/>
        </w:rPr>
        <w:lastRenderedPageBreak/>
        <w:t xml:space="preserve">It is evident from the above agreements that RAN2 is progressing with the assumption that the network can chose to configure reporting of either UE delay or UE location for UE-specific TA reporting. </w:t>
      </w:r>
    </w:p>
    <w:p w14:paraId="7112F34F" w14:textId="37B40EF0" w:rsidR="00E0012F" w:rsidRDefault="00E0012F" w:rsidP="00E0012F">
      <w:pPr>
        <w:rPr>
          <w:b/>
          <w:bCs/>
          <w:color w:val="242424"/>
          <w:shd w:val="clear" w:color="auto" w:fill="FFFFFF"/>
        </w:rPr>
      </w:pPr>
      <w:r>
        <w:rPr>
          <w:b/>
          <w:bCs/>
          <w:lang w:eastAsia="x-none"/>
        </w:rPr>
        <w:t xml:space="preserve">Proposal </w:t>
      </w:r>
      <w:r w:rsidR="001B5AEC">
        <w:rPr>
          <w:b/>
          <w:bCs/>
          <w:lang w:eastAsia="x-none"/>
        </w:rPr>
        <w:t>4</w:t>
      </w:r>
      <w:r>
        <w:rPr>
          <w:b/>
          <w:bCs/>
          <w:lang w:eastAsia="x-none"/>
        </w:rPr>
        <w:t xml:space="preserve">: </w:t>
      </w:r>
      <w:r>
        <w:rPr>
          <w:b/>
          <w:bCs/>
          <w:color w:val="242424"/>
          <w:shd w:val="clear" w:color="auto" w:fill="FFFFFF"/>
        </w:rPr>
        <w:t xml:space="preserve">For IoT NTN, </w:t>
      </w:r>
      <w:r w:rsidR="009955B7">
        <w:rPr>
          <w:b/>
          <w:bCs/>
          <w:color w:val="242424"/>
          <w:shd w:val="clear" w:color="auto" w:fill="FFFFFF"/>
        </w:rPr>
        <w:t xml:space="preserve">the </w:t>
      </w:r>
      <w:r w:rsidR="004204E0">
        <w:rPr>
          <w:b/>
          <w:bCs/>
          <w:color w:val="242424"/>
          <w:shd w:val="clear" w:color="auto" w:fill="FFFFFF"/>
        </w:rPr>
        <w:t xml:space="preserve">network </w:t>
      </w:r>
      <w:r w:rsidR="009955B7">
        <w:rPr>
          <w:b/>
          <w:bCs/>
          <w:color w:val="242424"/>
          <w:shd w:val="clear" w:color="auto" w:fill="FFFFFF"/>
        </w:rPr>
        <w:t xml:space="preserve">may </w:t>
      </w:r>
      <w:r w:rsidR="004204E0">
        <w:rPr>
          <w:b/>
          <w:bCs/>
          <w:color w:val="242424"/>
          <w:shd w:val="clear" w:color="auto" w:fill="FFFFFF"/>
        </w:rPr>
        <w:t xml:space="preserve">configure whether </w:t>
      </w:r>
      <w:r>
        <w:rPr>
          <w:b/>
          <w:bCs/>
          <w:color w:val="242424"/>
          <w:shd w:val="clear" w:color="auto" w:fill="FFFFFF"/>
        </w:rPr>
        <w:t xml:space="preserve">the UE should report its location </w:t>
      </w:r>
      <w:r w:rsidR="004204E0">
        <w:rPr>
          <w:b/>
          <w:bCs/>
          <w:color w:val="242424"/>
          <w:shd w:val="clear" w:color="auto" w:fill="FFFFFF"/>
        </w:rPr>
        <w:t>or</w:t>
      </w:r>
      <w:r>
        <w:rPr>
          <w:b/>
          <w:bCs/>
          <w:color w:val="242424"/>
          <w:shd w:val="clear" w:color="auto" w:fill="FFFFFF"/>
        </w:rPr>
        <w:t xml:space="preserve"> the UE-specific TA itself.</w:t>
      </w:r>
    </w:p>
    <w:p w14:paraId="15DDE1BE" w14:textId="201F9014" w:rsidR="00885F81" w:rsidRDefault="00885F81" w:rsidP="00E0012F">
      <w:pPr>
        <w:pStyle w:val="B1"/>
        <w:ind w:left="0" w:firstLine="0"/>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08278F4D" w14:textId="3E409E7F" w:rsidR="00F91329" w:rsidRDefault="002C566A" w:rsidP="00BB164F">
      <w:pPr>
        <w:rPr>
          <w:bCs/>
        </w:rPr>
      </w:pPr>
      <w:r w:rsidRPr="00501310">
        <w:rPr>
          <w:bCs/>
        </w:rPr>
        <w:t>Th</w:t>
      </w:r>
      <w:r>
        <w:rPr>
          <w:bCs/>
        </w:rPr>
        <w:t xml:space="preserve">is document has considered two remaining issues for IoT-NTN timing relationships: NPDCCH monitoring restrictions and UE-specific TA reporting. The </w:t>
      </w:r>
      <w:r w:rsidR="00F91329">
        <w:rPr>
          <w:bCs/>
        </w:rPr>
        <w:t>following proposals are made in this document:</w:t>
      </w:r>
    </w:p>
    <w:p w14:paraId="17474C8C" w14:textId="77777777" w:rsidR="001B5AEC" w:rsidRDefault="001B5AEC" w:rsidP="00BB164F">
      <w:pPr>
        <w:rPr>
          <w:b/>
          <w:bCs/>
        </w:rPr>
      </w:pPr>
      <w:r w:rsidRPr="001B5AEC">
        <w:rPr>
          <w:b/>
          <w:bCs/>
          <w:iCs/>
        </w:rPr>
        <w:t xml:space="preserve">Proposal 1: </w:t>
      </w:r>
      <w:r w:rsidRPr="001B5AEC">
        <w:rPr>
          <w:b/>
          <w:bCs/>
        </w:rPr>
        <w:t xml:space="preserve">For an NB-IoT UE </w:t>
      </w:r>
      <w:r w:rsidRPr="001B5AEC">
        <w:rPr>
          <w:b/>
          <w:bCs/>
          <w:iCs/>
        </w:rPr>
        <w:t xml:space="preserve">that </w:t>
      </w:r>
      <w:r w:rsidRPr="001B5AEC">
        <w:rPr>
          <w:b/>
          <w:bCs/>
        </w:rPr>
        <w:t xml:space="preserve">detects NPDCCH with DCI Format N0 scheduling a corresponding NPUSCH Format 1, update the designation of subframes in which NPDCCH monitoring is restricted to take account of </w:t>
      </w:r>
      <w:proofErr w:type="spellStart"/>
      <w:r w:rsidRPr="001B5AEC">
        <w:rPr>
          <w:b/>
          <w:bCs/>
        </w:rPr>
        <w:t>Koffset</w:t>
      </w:r>
      <w:proofErr w:type="spellEnd"/>
      <w:r w:rsidRPr="001B5AEC">
        <w:rPr>
          <w:b/>
          <w:bCs/>
        </w:rPr>
        <w:t xml:space="preserve"> and TA.</w:t>
      </w:r>
    </w:p>
    <w:p w14:paraId="40D40E7F" w14:textId="1423D836" w:rsidR="00501310" w:rsidRPr="00501310" w:rsidRDefault="00501310" w:rsidP="00BB164F">
      <w:pPr>
        <w:rPr>
          <w:b/>
          <w:bCs/>
        </w:rPr>
      </w:pPr>
      <w:r w:rsidRPr="00BC21EB">
        <w:rPr>
          <w:b/>
          <w:bCs/>
          <w:iCs/>
        </w:rPr>
        <w:t xml:space="preserve">Proposal </w:t>
      </w:r>
      <w:r w:rsidR="001B5AEC">
        <w:rPr>
          <w:b/>
          <w:bCs/>
          <w:iCs/>
        </w:rPr>
        <w:t>2</w:t>
      </w:r>
      <w:r w:rsidRPr="00BC21EB">
        <w:rPr>
          <w:b/>
          <w:bCs/>
          <w:iCs/>
        </w:rPr>
        <w:t xml:space="preserve">: </w:t>
      </w:r>
      <w:r w:rsidRPr="00BC21EB">
        <w:rPr>
          <w:b/>
          <w:bCs/>
        </w:rPr>
        <w:t xml:space="preserve">For an NB-IoT UE </w:t>
      </w:r>
      <w:r>
        <w:rPr>
          <w:b/>
          <w:bCs/>
        </w:rPr>
        <w:t xml:space="preserve">using FDD that receives an NPDSCH and </w:t>
      </w:r>
      <w:proofErr w:type="gramStart"/>
      <w:r>
        <w:rPr>
          <w:b/>
          <w:bCs/>
        </w:rPr>
        <w:t>has to</w:t>
      </w:r>
      <w:proofErr w:type="gramEnd"/>
      <w:r>
        <w:rPr>
          <w:b/>
          <w:bCs/>
        </w:rPr>
        <w:t xml:space="preserve"> transmit a corresponding</w:t>
      </w:r>
      <w:r w:rsidRPr="00BC21EB">
        <w:rPr>
          <w:b/>
          <w:bCs/>
          <w:i/>
        </w:rPr>
        <w:t xml:space="preserve"> </w:t>
      </w:r>
      <w:r w:rsidRPr="00BC21EB">
        <w:rPr>
          <w:b/>
          <w:bCs/>
        </w:rPr>
        <w:t xml:space="preserve">NPUSCH Format </w:t>
      </w:r>
      <w:r>
        <w:rPr>
          <w:b/>
          <w:bCs/>
        </w:rPr>
        <w:t>2</w:t>
      </w:r>
      <w:r w:rsidRPr="00BC21EB">
        <w:rPr>
          <w:b/>
          <w:bCs/>
        </w:rPr>
        <w:t xml:space="preserve">, update the designation of subframes </w:t>
      </w:r>
      <w:r>
        <w:rPr>
          <w:b/>
          <w:bCs/>
        </w:rPr>
        <w:t xml:space="preserve">in 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 xml:space="preserve">ed to take account of </w:t>
      </w:r>
      <w:proofErr w:type="spellStart"/>
      <w:r>
        <w:rPr>
          <w:b/>
          <w:bCs/>
        </w:rPr>
        <w:t>Koffset</w:t>
      </w:r>
      <w:proofErr w:type="spellEnd"/>
      <w:r>
        <w:rPr>
          <w:b/>
          <w:bCs/>
        </w:rPr>
        <w:t xml:space="preserve"> and TA</w:t>
      </w:r>
      <w:r w:rsidRPr="00BC21EB">
        <w:rPr>
          <w:b/>
          <w:bCs/>
        </w:rPr>
        <w:t>.</w:t>
      </w:r>
    </w:p>
    <w:p w14:paraId="050FD2FB" w14:textId="76B8BD40" w:rsidR="009D50F4" w:rsidRPr="00501310" w:rsidRDefault="00501310" w:rsidP="00BB164F">
      <w:pPr>
        <w:rPr>
          <w:b/>
          <w:bCs/>
        </w:rPr>
      </w:pPr>
      <w:r w:rsidRPr="00BC21EB">
        <w:rPr>
          <w:b/>
          <w:bCs/>
          <w:iCs/>
        </w:rPr>
        <w:t xml:space="preserve">Proposal </w:t>
      </w:r>
      <w:r w:rsidR="001B5AEC">
        <w:rPr>
          <w:b/>
          <w:bCs/>
          <w:iCs/>
        </w:rPr>
        <w:t>3</w:t>
      </w:r>
      <w:r w:rsidRPr="00BC21EB">
        <w:rPr>
          <w:b/>
          <w:bCs/>
          <w:iCs/>
        </w:rPr>
        <w:t xml:space="preserve">: </w:t>
      </w:r>
      <w:r w:rsidRPr="00BC21EB">
        <w:rPr>
          <w:b/>
          <w:bCs/>
        </w:rPr>
        <w:t xml:space="preserve">For an NB-IoT UE </w:t>
      </w:r>
      <w:r>
        <w:rPr>
          <w:b/>
          <w:bCs/>
        </w:rPr>
        <w:t xml:space="preserve">using FDD that receives an NPDCCH order to RACH and </w:t>
      </w:r>
      <w:proofErr w:type="gramStart"/>
      <w:r>
        <w:rPr>
          <w:b/>
          <w:bCs/>
        </w:rPr>
        <w:t>has to</w:t>
      </w:r>
      <w:proofErr w:type="gramEnd"/>
      <w:r>
        <w:rPr>
          <w:b/>
          <w:bCs/>
        </w:rPr>
        <w:t xml:space="preserve"> transmit a corresponding</w:t>
      </w:r>
      <w:r w:rsidRPr="00BC21EB">
        <w:rPr>
          <w:b/>
          <w:bCs/>
          <w:i/>
        </w:rPr>
        <w:t xml:space="preserve"> </w:t>
      </w:r>
      <w:r w:rsidRPr="00BC21EB">
        <w:rPr>
          <w:b/>
          <w:bCs/>
        </w:rPr>
        <w:t>NP</w:t>
      </w:r>
      <w:r>
        <w:rPr>
          <w:b/>
          <w:bCs/>
        </w:rPr>
        <w:t>RA</w:t>
      </w:r>
      <w:r w:rsidRPr="00BC21EB">
        <w:rPr>
          <w:b/>
          <w:bCs/>
        </w:rPr>
        <w:t xml:space="preserve">CH, update the designation of subframes </w:t>
      </w:r>
      <w:r>
        <w:rPr>
          <w:b/>
          <w:bCs/>
        </w:rPr>
        <w:t xml:space="preserve">in 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 xml:space="preserve">ed to take account of </w:t>
      </w:r>
      <w:proofErr w:type="spellStart"/>
      <w:r>
        <w:rPr>
          <w:b/>
          <w:bCs/>
        </w:rPr>
        <w:t>Koffset</w:t>
      </w:r>
      <w:proofErr w:type="spellEnd"/>
      <w:r>
        <w:rPr>
          <w:b/>
          <w:bCs/>
        </w:rPr>
        <w:t xml:space="preserve"> and TA</w:t>
      </w:r>
      <w:r w:rsidRPr="00BC21EB">
        <w:rPr>
          <w:b/>
          <w:bCs/>
        </w:rPr>
        <w:t>.</w:t>
      </w:r>
    </w:p>
    <w:p w14:paraId="5CECEE4B" w14:textId="67BD51A1" w:rsidR="00501310" w:rsidRPr="00501310" w:rsidRDefault="00501310" w:rsidP="00BB164F">
      <w:pPr>
        <w:rPr>
          <w:b/>
          <w:bCs/>
          <w:color w:val="242424"/>
          <w:shd w:val="clear" w:color="auto" w:fill="FFFFFF"/>
        </w:rPr>
      </w:pPr>
      <w:r>
        <w:rPr>
          <w:b/>
          <w:bCs/>
          <w:lang w:eastAsia="x-none"/>
        </w:rPr>
        <w:t xml:space="preserve">Proposal </w:t>
      </w:r>
      <w:r w:rsidR="001B5AEC">
        <w:rPr>
          <w:b/>
          <w:bCs/>
          <w:lang w:eastAsia="x-none"/>
        </w:rPr>
        <w:t>4</w:t>
      </w:r>
      <w:r>
        <w:rPr>
          <w:b/>
          <w:bCs/>
          <w:lang w:eastAsia="x-none"/>
        </w:rPr>
        <w:t xml:space="preserve">: </w:t>
      </w:r>
      <w:r>
        <w:rPr>
          <w:b/>
          <w:bCs/>
          <w:color w:val="242424"/>
          <w:shd w:val="clear" w:color="auto" w:fill="FFFFFF"/>
        </w:rPr>
        <w:t>For IoT NTN, the network may configure whether the UE should report its location or the UE-specific TA itself.</w:t>
      </w:r>
    </w:p>
    <w:p w14:paraId="31CC211C" w14:textId="77777777" w:rsidR="00001BE7" w:rsidRPr="00584035" w:rsidRDefault="00001BE7"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6C8723D9" w:rsidR="002C725E" w:rsidRPr="002C725E" w:rsidRDefault="000E3469" w:rsidP="002C725E">
      <w:pPr>
        <w:pStyle w:val="ListParagraph"/>
        <w:numPr>
          <w:ilvl w:val="0"/>
          <w:numId w:val="6"/>
        </w:numPr>
        <w:ind w:left="426" w:hanging="426"/>
        <w:rPr>
          <w:rFonts w:ascii="Times New Roman" w:hAnsi="Times New Roman" w:cs="Times New Roman"/>
        </w:rPr>
      </w:pPr>
      <w:bookmarkStart w:id="2" w:name="_Ref40204599"/>
      <w:r>
        <w:rPr>
          <w:rFonts w:ascii="Times New Roman" w:hAnsi="Times New Roman" w:cs="Times New Roman"/>
        </w:rPr>
        <w:t>RP-</w:t>
      </w:r>
      <w:r w:rsidR="00B21A6A">
        <w:rPr>
          <w:rFonts w:ascii="Times New Roman" w:hAnsi="Times New Roman" w:cs="Times New Roman"/>
        </w:rPr>
        <w:t>211601</w:t>
      </w:r>
      <w:r w:rsidR="00E83756">
        <w:rPr>
          <w:rFonts w:ascii="Times New Roman" w:hAnsi="Times New Roman" w:cs="Times New Roman"/>
        </w:rPr>
        <w:t>.</w:t>
      </w:r>
      <w:r>
        <w:rPr>
          <w:rFonts w:ascii="Times New Roman" w:hAnsi="Times New Roman" w:cs="Times New Roman"/>
        </w:rPr>
        <w:t xml:space="preserve"> </w:t>
      </w:r>
      <w:bookmarkEnd w:id="2"/>
      <w:r w:rsidR="00B21A6A">
        <w:rPr>
          <w:rFonts w:ascii="Times New Roman" w:hAnsi="Times New Roman" w:cs="Times New Roman"/>
        </w:rPr>
        <w:t xml:space="preserve">“Work Item Description: </w:t>
      </w:r>
      <w:r w:rsidR="00B21A6A" w:rsidRPr="000C1B5A">
        <w:t>NB-Io</w:t>
      </w:r>
      <w:r w:rsidR="00B21A6A">
        <w:t>T</w:t>
      </w:r>
      <w:r w:rsidR="00B21A6A" w:rsidRPr="000C1B5A">
        <w:t>/</w:t>
      </w:r>
      <w:proofErr w:type="spellStart"/>
      <w:r w:rsidR="00B21A6A" w:rsidRPr="000C1B5A">
        <w:t>eMTC</w:t>
      </w:r>
      <w:proofErr w:type="spellEnd"/>
      <w:r w:rsidR="00B21A6A" w:rsidRPr="000C1B5A">
        <w:t xml:space="preserve"> support for Non-Terrestrial Network</w:t>
      </w:r>
      <w:r w:rsidR="00B21A6A">
        <w:t>s”</w:t>
      </w:r>
      <w:r w:rsidR="00CA3ADA">
        <w:rPr>
          <w:rFonts w:ascii="Times New Roman" w:hAnsi="Times New Roman" w:cs="Times New Roman"/>
        </w:rPr>
        <w:t>. RANP#</w:t>
      </w:r>
      <w:r w:rsidR="00B21A6A">
        <w:rPr>
          <w:rFonts w:ascii="Times New Roman" w:hAnsi="Times New Roman" w:cs="Times New Roman"/>
        </w:rPr>
        <w:t>92e</w:t>
      </w:r>
      <w:r w:rsidR="00CA3ADA">
        <w:rPr>
          <w:rFonts w:ascii="Times New Roman" w:hAnsi="Times New Roman" w:cs="Times New Roman"/>
        </w:rPr>
        <w:t>.</w:t>
      </w:r>
      <w:r w:rsidR="00760196">
        <w:rPr>
          <w:rFonts w:ascii="Times New Roman" w:hAnsi="Times New Roman" w:cs="Times New Roman"/>
        </w:rPr>
        <w:t xml:space="preserve"> </w:t>
      </w:r>
      <w:r w:rsidR="00B21A6A">
        <w:rPr>
          <w:rFonts w:ascii="Times New Roman" w:hAnsi="Times New Roman" w:cs="Times New Roman"/>
        </w:rPr>
        <w:t>June</w:t>
      </w:r>
      <w:r w:rsidR="00760196">
        <w:rPr>
          <w:rFonts w:ascii="Times New Roman" w:hAnsi="Times New Roman" w:cs="Times New Roman"/>
        </w:rPr>
        <w:t xml:space="preserve"> 20</w:t>
      </w:r>
      <w:r w:rsidR="00B21A6A">
        <w:rPr>
          <w:rFonts w:ascii="Times New Roman" w:hAnsi="Times New Roman" w:cs="Times New Roman"/>
        </w:rPr>
        <w:t>21</w:t>
      </w:r>
      <w:r w:rsidR="00760196">
        <w:rPr>
          <w:rFonts w:ascii="Times New Roman" w:hAnsi="Times New Roman" w:cs="Times New Roman"/>
        </w:rPr>
        <w:t>.</w:t>
      </w:r>
    </w:p>
    <w:p w14:paraId="4C3D5F54" w14:textId="24D8BE25" w:rsidR="000B6EEA" w:rsidRDefault="00B21A6A" w:rsidP="00470133">
      <w:pPr>
        <w:pStyle w:val="ListParagraph"/>
        <w:numPr>
          <w:ilvl w:val="0"/>
          <w:numId w:val="6"/>
        </w:numPr>
        <w:ind w:left="426" w:hanging="426"/>
      </w:pPr>
      <w:bookmarkStart w:id="3" w:name="_Ref68631617"/>
      <w:r w:rsidRPr="00667392">
        <w:t>TR 36.763</w:t>
      </w:r>
      <w:r w:rsidR="0041617E" w:rsidRPr="00501310">
        <w:rPr>
          <w:rFonts w:ascii="Times New Roman" w:hAnsi="Times New Roman" w:cs="Times New Roman"/>
        </w:rPr>
        <w:t xml:space="preserve">. </w:t>
      </w:r>
      <w:r w:rsidR="00F23F97" w:rsidRPr="00501310">
        <w:rPr>
          <w:rFonts w:ascii="Times New Roman" w:hAnsi="Times New Roman" w:cs="Times New Roman"/>
        </w:rPr>
        <w:t>“</w:t>
      </w:r>
      <w:r>
        <w:t>St</w:t>
      </w:r>
      <w:r w:rsidRPr="00807C9E">
        <w:t>udy on Narrow-Band Internet of Things (NB-IoT) / enhanced Machine Type Communication (</w:t>
      </w:r>
      <w:proofErr w:type="spellStart"/>
      <w:r w:rsidRPr="00807C9E">
        <w:t>eMTC</w:t>
      </w:r>
      <w:proofErr w:type="spellEnd"/>
      <w:r w:rsidRPr="00807C9E">
        <w:t xml:space="preserve">) support for Non-Terrestrial Networks (NTN) </w:t>
      </w:r>
      <w:r w:rsidRPr="00081E87">
        <w:t>(</w:t>
      </w:r>
      <w:r w:rsidRPr="00081E87">
        <w:rPr>
          <w:rStyle w:val="ZGSM"/>
        </w:rPr>
        <w:t xml:space="preserve">Release </w:t>
      </w:r>
      <w:bookmarkStart w:id="4" w:name="specRelease"/>
      <w:r w:rsidRPr="00081E87">
        <w:rPr>
          <w:rStyle w:val="ZGSM"/>
        </w:rPr>
        <w:t>1</w:t>
      </w:r>
      <w:bookmarkEnd w:id="4"/>
      <w:r>
        <w:rPr>
          <w:rStyle w:val="ZGSM"/>
        </w:rPr>
        <w:t>7</w:t>
      </w:r>
      <w:r w:rsidRPr="00081E87">
        <w:t>)</w:t>
      </w:r>
      <w:r w:rsidR="00F23F97" w:rsidRPr="00501310">
        <w:rPr>
          <w:rFonts w:ascii="Times New Roman" w:hAnsi="Times New Roman" w:cs="Times New Roman"/>
        </w:rPr>
        <w:t>”. RAN</w:t>
      </w:r>
      <w:r w:rsidRPr="00501310">
        <w:rPr>
          <w:rFonts w:ascii="Times New Roman" w:hAnsi="Times New Roman" w:cs="Times New Roman"/>
        </w:rPr>
        <w:t>P</w:t>
      </w:r>
      <w:r w:rsidR="00F23F97" w:rsidRPr="00501310">
        <w:rPr>
          <w:rFonts w:ascii="Times New Roman" w:hAnsi="Times New Roman" w:cs="Times New Roman"/>
        </w:rPr>
        <w:t>#</w:t>
      </w:r>
      <w:r w:rsidRPr="00501310">
        <w:rPr>
          <w:rFonts w:ascii="Times New Roman" w:hAnsi="Times New Roman" w:cs="Times New Roman"/>
        </w:rPr>
        <w:t>92</w:t>
      </w:r>
      <w:r w:rsidR="00F23F97" w:rsidRPr="00501310">
        <w:rPr>
          <w:rFonts w:ascii="Times New Roman" w:hAnsi="Times New Roman" w:cs="Times New Roman"/>
        </w:rPr>
        <w:t xml:space="preserve">_e. </w:t>
      </w:r>
      <w:r w:rsidRPr="00501310">
        <w:rPr>
          <w:rFonts w:ascii="Times New Roman" w:hAnsi="Times New Roman" w:cs="Times New Roman"/>
        </w:rPr>
        <w:t>June</w:t>
      </w:r>
      <w:r w:rsidR="00F23F97" w:rsidRPr="00501310">
        <w:rPr>
          <w:rFonts w:ascii="Times New Roman" w:hAnsi="Times New Roman" w:cs="Times New Roman"/>
        </w:rPr>
        <w:t xml:space="preserve"> 2021.</w:t>
      </w:r>
      <w:bookmarkEnd w:id="3"/>
    </w:p>
    <w:p w14:paraId="4564D851" w14:textId="0BBE950A" w:rsidR="006959BA" w:rsidRDefault="006959BA" w:rsidP="006959BA"/>
    <w:sectPr w:rsidR="006959BA" w:rsidSect="009810F6">
      <w:pgSz w:w="11909" w:h="16834" w:code="9"/>
      <w:pgMar w:top="1440" w:right="1440" w:bottom="1440"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D0787" w14:textId="77777777" w:rsidR="00952330" w:rsidRDefault="00952330">
      <w:r>
        <w:separator/>
      </w:r>
    </w:p>
  </w:endnote>
  <w:endnote w:type="continuationSeparator" w:id="0">
    <w:p w14:paraId="60C419BD" w14:textId="77777777" w:rsidR="00952330" w:rsidRDefault="00952330">
      <w:r>
        <w:continuationSeparator/>
      </w:r>
    </w:p>
  </w:endnote>
  <w:endnote w:type="continuationNotice" w:id="1">
    <w:p w14:paraId="00931470" w14:textId="77777777" w:rsidR="00952330" w:rsidRDefault="00952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9CEB2" w14:textId="77777777" w:rsidR="00952330" w:rsidRDefault="00952330">
      <w:r>
        <w:separator/>
      </w:r>
    </w:p>
  </w:footnote>
  <w:footnote w:type="continuationSeparator" w:id="0">
    <w:p w14:paraId="72CF82D8" w14:textId="77777777" w:rsidR="00952330" w:rsidRDefault="00952330">
      <w:r>
        <w:continuationSeparator/>
      </w:r>
    </w:p>
  </w:footnote>
  <w:footnote w:type="continuationNotice" w:id="1">
    <w:p w14:paraId="0ABF4435" w14:textId="77777777" w:rsidR="00952330" w:rsidRDefault="00952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5A89"/>
    <w:multiLevelType w:val="hybridMultilevel"/>
    <w:tmpl w:val="08D4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44F64"/>
    <w:multiLevelType w:val="hybridMultilevel"/>
    <w:tmpl w:val="FC6C7A0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969A8"/>
    <w:multiLevelType w:val="hybridMultilevel"/>
    <w:tmpl w:val="58A64B8E"/>
    <w:lvl w:ilvl="0" w:tplc="D94E19B2">
      <w:start w:val="1"/>
      <w:numFmt w:val="bullet"/>
      <w:lvlText w:val="-"/>
      <w:lvlJc w:val="left"/>
      <w:pPr>
        <w:ind w:left="720" w:hanging="360"/>
      </w:pPr>
      <w:rPr>
        <w:rFonts w:ascii="Calibri" w:hAnsi="Calibri" w:hint="default"/>
      </w:rPr>
    </w:lvl>
    <w:lvl w:ilvl="1" w:tplc="3E78CBEE">
      <w:start w:val="1"/>
      <w:numFmt w:val="bullet"/>
      <w:lvlText w:val="o"/>
      <w:lvlJc w:val="left"/>
      <w:pPr>
        <w:ind w:left="1440" w:hanging="360"/>
      </w:pPr>
      <w:rPr>
        <w:rFonts w:ascii="Courier New" w:hAnsi="Courier New" w:hint="default"/>
      </w:rPr>
    </w:lvl>
    <w:lvl w:ilvl="2" w:tplc="0AF601B8">
      <w:start w:val="1"/>
      <w:numFmt w:val="bullet"/>
      <w:lvlText w:val=""/>
      <w:lvlJc w:val="left"/>
      <w:pPr>
        <w:ind w:left="2160" w:hanging="360"/>
      </w:pPr>
      <w:rPr>
        <w:rFonts w:ascii="Wingdings" w:hAnsi="Wingdings" w:hint="default"/>
      </w:rPr>
    </w:lvl>
    <w:lvl w:ilvl="3" w:tplc="6A362EAE">
      <w:start w:val="1"/>
      <w:numFmt w:val="bullet"/>
      <w:lvlText w:val=""/>
      <w:lvlJc w:val="left"/>
      <w:pPr>
        <w:ind w:left="2880" w:hanging="360"/>
      </w:pPr>
      <w:rPr>
        <w:rFonts w:ascii="Symbol" w:hAnsi="Symbol" w:hint="default"/>
      </w:rPr>
    </w:lvl>
    <w:lvl w:ilvl="4" w:tplc="37482580">
      <w:start w:val="1"/>
      <w:numFmt w:val="bullet"/>
      <w:lvlText w:val="o"/>
      <w:lvlJc w:val="left"/>
      <w:pPr>
        <w:ind w:left="3600" w:hanging="360"/>
      </w:pPr>
      <w:rPr>
        <w:rFonts w:ascii="Courier New" w:hAnsi="Courier New" w:hint="default"/>
      </w:rPr>
    </w:lvl>
    <w:lvl w:ilvl="5" w:tplc="0AE4213A">
      <w:start w:val="1"/>
      <w:numFmt w:val="bullet"/>
      <w:lvlText w:val=""/>
      <w:lvlJc w:val="left"/>
      <w:pPr>
        <w:ind w:left="4320" w:hanging="360"/>
      </w:pPr>
      <w:rPr>
        <w:rFonts w:ascii="Wingdings" w:hAnsi="Wingdings" w:hint="default"/>
      </w:rPr>
    </w:lvl>
    <w:lvl w:ilvl="6" w:tplc="F5CAEF1A">
      <w:start w:val="1"/>
      <w:numFmt w:val="bullet"/>
      <w:lvlText w:val=""/>
      <w:lvlJc w:val="left"/>
      <w:pPr>
        <w:ind w:left="5040" w:hanging="360"/>
      </w:pPr>
      <w:rPr>
        <w:rFonts w:ascii="Symbol" w:hAnsi="Symbol" w:hint="default"/>
      </w:rPr>
    </w:lvl>
    <w:lvl w:ilvl="7" w:tplc="5FE42AC6">
      <w:start w:val="1"/>
      <w:numFmt w:val="bullet"/>
      <w:lvlText w:val="o"/>
      <w:lvlJc w:val="left"/>
      <w:pPr>
        <w:ind w:left="5760" w:hanging="360"/>
      </w:pPr>
      <w:rPr>
        <w:rFonts w:ascii="Courier New" w:hAnsi="Courier New" w:hint="default"/>
      </w:rPr>
    </w:lvl>
    <w:lvl w:ilvl="8" w:tplc="4CA4BBE2">
      <w:start w:val="1"/>
      <w:numFmt w:val="bullet"/>
      <w:lvlText w:val=""/>
      <w:lvlJc w:val="left"/>
      <w:pPr>
        <w:ind w:left="6480" w:hanging="360"/>
      </w:pPr>
      <w:rPr>
        <w:rFonts w:ascii="Wingdings" w:hAnsi="Wingdings" w:hint="default"/>
      </w:r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FA3471"/>
    <w:multiLevelType w:val="hybridMultilevel"/>
    <w:tmpl w:val="A0127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1"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E847E2"/>
    <w:multiLevelType w:val="hybridMultilevel"/>
    <w:tmpl w:val="B8FE7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53A06E8"/>
    <w:multiLevelType w:val="hybridMultilevel"/>
    <w:tmpl w:val="6EEEFB8E"/>
    <w:lvl w:ilvl="0" w:tplc="8020A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CB0BEB"/>
    <w:multiLevelType w:val="hybridMultilevel"/>
    <w:tmpl w:val="B8148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38"/>
  </w:num>
  <w:num w:numId="4">
    <w:abstractNumId w:val="27"/>
  </w:num>
  <w:num w:numId="5">
    <w:abstractNumId w:val="33"/>
  </w:num>
  <w:num w:numId="6">
    <w:abstractNumId w:val="6"/>
  </w:num>
  <w:num w:numId="7">
    <w:abstractNumId w:val="26"/>
  </w:num>
  <w:num w:numId="8">
    <w:abstractNumId w:val="19"/>
  </w:num>
  <w:num w:numId="9">
    <w:abstractNumId w:val="37"/>
  </w:num>
  <w:num w:numId="10">
    <w:abstractNumId w:val="35"/>
  </w:num>
  <w:num w:numId="11">
    <w:abstractNumId w:val="11"/>
  </w:num>
  <w:num w:numId="12">
    <w:abstractNumId w:val="15"/>
  </w:num>
  <w:num w:numId="13">
    <w:abstractNumId w:val="13"/>
  </w:num>
  <w:num w:numId="14">
    <w:abstractNumId w:val="31"/>
  </w:num>
  <w:num w:numId="15">
    <w:abstractNumId w:val="2"/>
  </w:num>
  <w:num w:numId="16">
    <w:abstractNumId w:val="8"/>
  </w:num>
  <w:num w:numId="17">
    <w:abstractNumId w:val="4"/>
  </w:num>
  <w:num w:numId="18">
    <w:abstractNumId w:val="25"/>
  </w:num>
  <w:num w:numId="19">
    <w:abstractNumId w:val="5"/>
  </w:num>
  <w:num w:numId="20">
    <w:abstractNumId w:val="17"/>
  </w:num>
  <w:num w:numId="21">
    <w:abstractNumId w:val="28"/>
  </w:num>
  <w:num w:numId="22">
    <w:abstractNumId w:val="30"/>
  </w:num>
  <w:num w:numId="23">
    <w:abstractNumId w:val="22"/>
  </w:num>
  <w:num w:numId="24">
    <w:abstractNumId w:val="10"/>
  </w:num>
  <w:num w:numId="25">
    <w:abstractNumId w:val="39"/>
  </w:num>
  <w:num w:numId="26">
    <w:abstractNumId w:val="0"/>
  </w:num>
  <w:num w:numId="27">
    <w:abstractNumId w:val="21"/>
  </w:num>
  <w:num w:numId="28">
    <w:abstractNumId w:val="32"/>
  </w:num>
  <w:num w:numId="29">
    <w:abstractNumId w:val="18"/>
  </w:num>
  <w:num w:numId="30">
    <w:abstractNumId w:val="34"/>
  </w:num>
  <w:num w:numId="31">
    <w:abstractNumId w:val="16"/>
  </w:num>
  <w:num w:numId="32">
    <w:abstractNumId w:val="9"/>
  </w:num>
  <w:num w:numId="33">
    <w:abstractNumId w:val="7"/>
  </w:num>
  <w:num w:numId="34">
    <w:abstractNumId w:val="36"/>
  </w:num>
  <w:num w:numId="35">
    <w:abstractNumId w:val="29"/>
  </w:num>
  <w:num w:numId="36">
    <w:abstractNumId w:val="1"/>
  </w:num>
  <w:num w:numId="37">
    <w:abstractNumId w:val="23"/>
  </w:num>
  <w:num w:numId="38">
    <w:abstractNumId w:val="12"/>
  </w:num>
  <w:num w:numId="39">
    <w:abstractNumId w:val="34"/>
  </w:num>
  <w:num w:numId="40">
    <w:abstractNumId w:val="3"/>
  </w:num>
  <w:num w:numId="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8F5"/>
    <w:rsid w:val="00012A12"/>
    <w:rsid w:val="00013035"/>
    <w:rsid w:val="000134B5"/>
    <w:rsid w:val="00013840"/>
    <w:rsid w:val="00013849"/>
    <w:rsid w:val="000138F4"/>
    <w:rsid w:val="000142E9"/>
    <w:rsid w:val="000153CE"/>
    <w:rsid w:val="000158ED"/>
    <w:rsid w:val="00015E7D"/>
    <w:rsid w:val="00015EFB"/>
    <w:rsid w:val="000165E2"/>
    <w:rsid w:val="00017020"/>
    <w:rsid w:val="000172BE"/>
    <w:rsid w:val="00017CDF"/>
    <w:rsid w:val="00017D8A"/>
    <w:rsid w:val="00020036"/>
    <w:rsid w:val="00020A9F"/>
    <w:rsid w:val="000210DE"/>
    <w:rsid w:val="00021583"/>
    <w:rsid w:val="00021626"/>
    <w:rsid w:val="0002166E"/>
    <w:rsid w:val="000218F5"/>
    <w:rsid w:val="000226B5"/>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7031"/>
    <w:rsid w:val="0003717F"/>
    <w:rsid w:val="00037216"/>
    <w:rsid w:val="0003768A"/>
    <w:rsid w:val="00037D00"/>
    <w:rsid w:val="0004023E"/>
    <w:rsid w:val="0004024B"/>
    <w:rsid w:val="0004040F"/>
    <w:rsid w:val="00040604"/>
    <w:rsid w:val="00040C79"/>
    <w:rsid w:val="00040E7B"/>
    <w:rsid w:val="000411EC"/>
    <w:rsid w:val="0004133A"/>
    <w:rsid w:val="00041C57"/>
    <w:rsid w:val="00041D94"/>
    <w:rsid w:val="0004202B"/>
    <w:rsid w:val="000422E3"/>
    <w:rsid w:val="0004243B"/>
    <w:rsid w:val="00042720"/>
    <w:rsid w:val="0004290B"/>
    <w:rsid w:val="000434B7"/>
    <w:rsid w:val="000435C9"/>
    <w:rsid w:val="000435E4"/>
    <w:rsid w:val="00043A29"/>
    <w:rsid w:val="00044077"/>
    <w:rsid w:val="00044527"/>
    <w:rsid w:val="0004483A"/>
    <w:rsid w:val="00044CF3"/>
    <w:rsid w:val="00044E41"/>
    <w:rsid w:val="00046796"/>
    <w:rsid w:val="000467FD"/>
    <w:rsid w:val="00046AAF"/>
    <w:rsid w:val="00047225"/>
    <w:rsid w:val="00047236"/>
    <w:rsid w:val="00047478"/>
    <w:rsid w:val="000477B7"/>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E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541"/>
    <w:rsid w:val="00076A15"/>
    <w:rsid w:val="000772F4"/>
    <w:rsid w:val="000776EB"/>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61A"/>
    <w:rsid w:val="00086800"/>
    <w:rsid w:val="00086EF9"/>
    <w:rsid w:val="0008740C"/>
    <w:rsid w:val="00087411"/>
    <w:rsid w:val="00087913"/>
    <w:rsid w:val="00087C4F"/>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C50"/>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93D"/>
    <w:rsid w:val="000A5A8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16"/>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D16"/>
    <w:rsid w:val="000C201F"/>
    <w:rsid w:val="000C252B"/>
    <w:rsid w:val="000C2F06"/>
    <w:rsid w:val="000C2F81"/>
    <w:rsid w:val="000C2FBD"/>
    <w:rsid w:val="000C3820"/>
    <w:rsid w:val="000C3ADB"/>
    <w:rsid w:val="000C3B0C"/>
    <w:rsid w:val="000C3C11"/>
    <w:rsid w:val="000C3D3B"/>
    <w:rsid w:val="000C3F77"/>
    <w:rsid w:val="000C422D"/>
    <w:rsid w:val="000C4236"/>
    <w:rsid w:val="000C5974"/>
    <w:rsid w:val="000C5F91"/>
    <w:rsid w:val="000C6025"/>
    <w:rsid w:val="000C62CF"/>
    <w:rsid w:val="000C7871"/>
    <w:rsid w:val="000C7D95"/>
    <w:rsid w:val="000D00BB"/>
    <w:rsid w:val="000D0565"/>
    <w:rsid w:val="000D09C9"/>
    <w:rsid w:val="000D0E4E"/>
    <w:rsid w:val="000D0EED"/>
    <w:rsid w:val="000D113C"/>
    <w:rsid w:val="000D11C8"/>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57"/>
    <w:rsid w:val="000E4984"/>
    <w:rsid w:val="000E4A1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261"/>
    <w:rsid w:val="000F24DC"/>
    <w:rsid w:val="000F26B8"/>
    <w:rsid w:val="000F275B"/>
    <w:rsid w:val="000F27A3"/>
    <w:rsid w:val="000F2EEE"/>
    <w:rsid w:val="000F3292"/>
    <w:rsid w:val="000F3697"/>
    <w:rsid w:val="000F4015"/>
    <w:rsid w:val="000F451C"/>
    <w:rsid w:val="000F4C20"/>
    <w:rsid w:val="000F4E03"/>
    <w:rsid w:val="000F4E6E"/>
    <w:rsid w:val="000F5034"/>
    <w:rsid w:val="000F5046"/>
    <w:rsid w:val="000F5906"/>
    <w:rsid w:val="000F5E83"/>
    <w:rsid w:val="000F6726"/>
    <w:rsid w:val="000F6EAD"/>
    <w:rsid w:val="000F70A3"/>
    <w:rsid w:val="000F7C5E"/>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6A4"/>
    <w:rsid w:val="00120B13"/>
    <w:rsid w:val="00121019"/>
    <w:rsid w:val="00121082"/>
    <w:rsid w:val="0012144D"/>
    <w:rsid w:val="00121808"/>
    <w:rsid w:val="00121B8C"/>
    <w:rsid w:val="00122457"/>
    <w:rsid w:val="00122804"/>
    <w:rsid w:val="00123538"/>
    <w:rsid w:val="001235B7"/>
    <w:rsid w:val="00123AC3"/>
    <w:rsid w:val="00124A01"/>
    <w:rsid w:val="00124BB8"/>
    <w:rsid w:val="00124D84"/>
    <w:rsid w:val="001250DD"/>
    <w:rsid w:val="001251ED"/>
    <w:rsid w:val="00125660"/>
    <w:rsid w:val="00125733"/>
    <w:rsid w:val="00125B70"/>
    <w:rsid w:val="00125F3D"/>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37"/>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5FD"/>
    <w:rsid w:val="00151619"/>
    <w:rsid w:val="001521DF"/>
    <w:rsid w:val="00152835"/>
    <w:rsid w:val="00152E00"/>
    <w:rsid w:val="0015308E"/>
    <w:rsid w:val="001536FB"/>
    <w:rsid w:val="001550B7"/>
    <w:rsid w:val="00155927"/>
    <w:rsid w:val="001559FA"/>
    <w:rsid w:val="00155C27"/>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A36"/>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5C30"/>
    <w:rsid w:val="00175DA1"/>
    <w:rsid w:val="00175DCB"/>
    <w:rsid w:val="00176045"/>
    <w:rsid w:val="00176576"/>
    <w:rsid w:val="00176BD6"/>
    <w:rsid w:val="00176C9A"/>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C91"/>
    <w:rsid w:val="0019245F"/>
    <w:rsid w:val="00192D6B"/>
    <w:rsid w:val="00192DD9"/>
    <w:rsid w:val="0019386C"/>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E7B"/>
    <w:rsid w:val="001A5FE7"/>
    <w:rsid w:val="001A629D"/>
    <w:rsid w:val="001A6552"/>
    <w:rsid w:val="001A6610"/>
    <w:rsid w:val="001A673E"/>
    <w:rsid w:val="001A67B2"/>
    <w:rsid w:val="001A6AC1"/>
    <w:rsid w:val="001A6D82"/>
    <w:rsid w:val="001A7724"/>
    <w:rsid w:val="001A7763"/>
    <w:rsid w:val="001A783A"/>
    <w:rsid w:val="001A7D26"/>
    <w:rsid w:val="001B0F40"/>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AEC"/>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4E3"/>
    <w:rsid w:val="001C0569"/>
    <w:rsid w:val="001C067A"/>
    <w:rsid w:val="001C0C93"/>
    <w:rsid w:val="001C10A1"/>
    <w:rsid w:val="001C115A"/>
    <w:rsid w:val="001C14ED"/>
    <w:rsid w:val="001C1803"/>
    <w:rsid w:val="001C1A7B"/>
    <w:rsid w:val="001C1D7E"/>
    <w:rsid w:val="001C1E16"/>
    <w:rsid w:val="001C1FB0"/>
    <w:rsid w:val="001C2378"/>
    <w:rsid w:val="001C2744"/>
    <w:rsid w:val="001C2F70"/>
    <w:rsid w:val="001C3478"/>
    <w:rsid w:val="001C3669"/>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25A"/>
    <w:rsid w:val="001F4519"/>
    <w:rsid w:val="001F4A0F"/>
    <w:rsid w:val="001F4B07"/>
    <w:rsid w:val="001F4CBD"/>
    <w:rsid w:val="001F4FA7"/>
    <w:rsid w:val="001F524C"/>
    <w:rsid w:val="001F5272"/>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475"/>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C25"/>
    <w:rsid w:val="00231C6F"/>
    <w:rsid w:val="00231F2D"/>
    <w:rsid w:val="002324AA"/>
    <w:rsid w:val="00232A90"/>
    <w:rsid w:val="00232AE7"/>
    <w:rsid w:val="00232B95"/>
    <w:rsid w:val="00232BC7"/>
    <w:rsid w:val="00233523"/>
    <w:rsid w:val="002339FD"/>
    <w:rsid w:val="00233B5C"/>
    <w:rsid w:val="00234151"/>
    <w:rsid w:val="002341E4"/>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820"/>
    <w:rsid w:val="00237DF2"/>
    <w:rsid w:val="002401F5"/>
    <w:rsid w:val="00240623"/>
    <w:rsid w:val="00240E54"/>
    <w:rsid w:val="00241945"/>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19"/>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12"/>
    <w:rsid w:val="00276F83"/>
    <w:rsid w:val="00277835"/>
    <w:rsid w:val="00277A3A"/>
    <w:rsid w:val="00277D35"/>
    <w:rsid w:val="0028001B"/>
    <w:rsid w:val="00280A17"/>
    <w:rsid w:val="00280AB1"/>
    <w:rsid w:val="00280BF9"/>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A4A"/>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93E"/>
    <w:rsid w:val="002C547B"/>
    <w:rsid w:val="002C566A"/>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D88"/>
    <w:rsid w:val="002D0DC9"/>
    <w:rsid w:val="002D0EF4"/>
    <w:rsid w:val="002D0F35"/>
    <w:rsid w:val="002D11B7"/>
    <w:rsid w:val="002D1978"/>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5F"/>
    <w:rsid w:val="002D68E6"/>
    <w:rsid w:val="002D6DAE"/>
    <w:rsid w:val="002D6F03"/>
    <w:rsid w:val="002D71BF"/>
    <w:rsid w:val="002D7777"/>
    <w:rsid w:val="002D77A0"/>
    <w:rsid w:val="002D78DC"/>
    <w:rsid w:val="002E0319"/>
    <w:rsid w:val="002E08D0"/>
    <w:rsid w:val="002E0CB0"/>
    <w:rsid w:val="002E15CE"/>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57B"/>
    <w:rsid w:val="002E471B"/>
    <w:rsid w:val="002E4F79"/>
    <w:rsid w:val="002E52BA"/>
    <w:rsid w:val="002E538D"/>
    <w:rsid w:val="002E55E1"/>
    <w:rsid w:val="002E5990"/>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274"/>
    <w:rsid w:val="002F2353"/>
    <w:rsid w:val="002F2498"/>
    <w:rsid w:val="002F2CEA"/>
    <w:rsid w:val="002F35CA"/>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374"/>
    <w:rsid w:val="00314485"/>
    <w:rsid w:val="0031499F"/>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507E"/>
    <w:rsid w:val="00325122"/>
    <w:rsid w:val="003252C8"/>
    <w:rsid w:val="00325447"/>
    <w:rsid w:val="00325BDF"/>
    <w:rsid w:val="00326957"/>
    <w:rsid w:val="00326AE2"/>
    <w:rsid w:val="00326EC9"/>
    <w:rsid w:val="003270EB"/>
    <w:rsid w:val="00327E70"/>
    <w:rsid w:val="003301D4"/>
    <w:rsid w:val="003304D1"/>
    <w:rsid w:val="003313BB"/>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321"/>
    <w:rsid w:val="00334F02"/>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DA5"/>
    <w:rsid w:val="00353F27"/>
    <w:rsid w:val="003548D8"/>
    <w:rsid w:val="003549C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8F3"/>
    <w:rsid w:val="00372977"/>
    <w:rsid w:val="00372DC9"/>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4BC"/>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3E"/>
    <w:rsid w:val="0039244E"/>
    <w:rsid w:val="0039281F"/>
    <w:rsid w:val="00392D4C"/>
    <w:rsid w:val="003933C8"/>
    <w:rsid w:val="003940CE"/>
    <w:rsid w:val="003942FE"/>
    <w:rsid w:val="00394379"/>
    <w:rsid w:val="003946C5"/>
    <w:rsid w:val="003948DF"/>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E33"/>
    <w:rsid w:val="003A5F31"/>
    <w:rsid w:val="003A6519"/>
    <w:rsid w:val="003A65D6"/>
    <w:rsid w:val="003A6D70"/>
    <w:rsid w:val="003A7834"/>
    <w:rsid w:val="003A78FB"/>
    <w:rsid w:val="003A7A2E"/>
    <w:rsid w:val="003B034C"/>
    <w:rsid w:val="003B042D"/>
    <w:rsid w:val="003B0B5B"/>
    <w:rsid w:val="003B0E79"/>
    <w:rsid w:val="003B11E7"/>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8EA"/>
    <w:rsid w:val="003B4914"/>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300"/>
    <w:rsid w:val="003D2901"/>
    <w:rsid w:val="003D2BF9"/>
    <w:rsid w:val="003D2C1D"/>
    <w:rsid w:val="003D2C34"/>
    <w:rsid w:val="003D31EB"/>
    <w:rsid w:val="003D327C"/>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F0B"/>
    <w:rsid w:val="003E2F93"/>
    <w:rsid w:val="003E3C28"/>
    <w:rsid w:val="003E3F0C"/>
    <w:rsid w:val="003E4858"/>
    <w:rsid w:val="003E4956"/>
    <w:rsid w:val="003E4AC7"/>
    <w:rsid w:val="003E4B19"/>
    <w:rsid w:val="003E5434"/>
    <w:rsid w:val="003E5AB5"/>
    <w:rsid w:val="003E5D1B"/>
    <w:rsid w:val="003E5E42"/>
    <w:rsid w:val="003E6061"/>
    <w:rsid w:val="003E611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5C"/>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0E57"/>
    <w:rsid w:val="00400EDE"/>
    <w:rsid w:val="0040126E"/>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811"/>
    <w:rsid w:val="00416870"/>
    <w:rsid w:val="004169FA"/>
    <w:rsid w:val="00416A67"/>
    <w:rsid w:val="00416ACB"/>
    <w:rsid w:val="00416C1C"/>
    <w:rsid w:val="0041720C"/>
    <w:rsid w:val="0041727F"/>
    <w:rsid w:val="0041742A"/>
    <w:rsid w:val="004174C8"/>
    <w:rsid w:val="00417885"/>
    <w:rsid w:val="00417B00"/>
    <w:rsid w:val="004204D1"/>
    <w:rsid w:val="004204E0"/>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5B5"/>
    <w:rsid w:val="00426880"/>
    <w:rsid w:val="00426CF7"/>
    <w:rsid w:val="00427690"/>
    <w:rsid w:val="0042793D"/>
    <w:rsid w:val="00427A7B"/>
    <w:rsid w:val="00427D2C"/>
    <w:rsid w:val="00430A2D"/>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E9"/>
    <w:rsid w:val="00462035"/>
    <w:rsid w:val="00462062"/>
    <w:rsid w:val="004621FF"/>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4FC3"/>
    <w:rsid w:val="004651A0"/>
    <w:rsid w:val="004652A6"/>
    <w:rsid w:val="00465347"/>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408"/>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16B"/>
    <w:rsid w:val="004A4676"/>
    <w:rsid w:val="004A4715"/>
    <w:rsid w:val="004A4C11"/>
    <w:rsid w:val="004A4D6F"/>
    <w:rsid w:val="004A5046"/>
    <w:rsid w:val="004A5651"/>
    <w:rsid w:val="004A565E"/>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B9B"/>
    <w:rsid w:val="004B267F"/>
    <w:rsid w:val="004B2BF2"/>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74E7"/>
    <w:rsid w:val="004B7CAA"/>
    <w:rsid w:val="004C01A8"/>
    <w:rsid w:val="004C0241"/>
    <w:rsid w:val="004C099F"/>
    <w:rsid w:val="004C0DE6"/>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8A2"/>
    <w:rsid w:val="004D1D91"/>
    <w:rsid w:val="004D22C3"/>
    <w:rsid w:val="004D38A7"/>
    <w:rsid w:val="004D3BB4"/>
    <w:rsid w:val="004D3C9B"/>
    <w:rsid w:val="004D3CB7"/>
    <w:rsid w:val="004D419A"/>
    <w:rsid w:val="004D41A7"/>
    <w:rsid w:val="004D498F"/>
    <w:rsid w:val="004D4DAC"/>
    <w:rsid w:val="004D5973"/>
    <w:rsid w:val="004D59A7"/>
    <w:rsid w:val="004D5BA8"/>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6C7"/>
    <w:rsid w:val="004E58A1"/>
    <w:rsid w:val="004E58E9"/>
    <w:rsid w:val="004E5EFC"/>
    <w:rsid w:val="004E5F58"/>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310"/>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1C"/>
    <w:rsid w:val="00532F8B"/>
    <w:rsid w:val="005334D0"/>
    <w:rsid w:val="00533737"/>
    <w:rsid w:val="00533941"/>
    <w:rsid w:val="00533B31"/>
    <w:rsid w:val="00533D4D"/>
    <w:rsid w:val="0053408C"/>
    <w:rsid w:val="005341F8"/>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8F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5FF"/>
    <w:rsid w:val="0059379B"/>
    <w:rsid w:val="00593957"/>
    <w:rsid w:val="005939D5"/>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1EA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96F"/>
    <w:rsid w:val="005B4A04"/>
    <w:rsid w:val="005B4CBE"/>
    <w:rsid w:val="005B4D87"/>
    <w:rsid w:val="005B535D"/>
    <w:rsid w:val="005B53ED"/>
    <w:rsid w:val="005B579D"/>
    <w:rsid w:val="005B61F6"/>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44"/>
    <w:rsid w:val="005C4031"/>
    <w:rsid w:val="005C40F4"/>
    <w:rsid w:val="005C43BE"/>
    <w:rsid w:val="005C44F3"/>
    <w:rsid w:val="005C4A13"/>
    <w:rsid w:val="005C4B71"/>
    <w:rsid w:val="005C4DBA"/>
    <w:rsid w:val="005C4EF6"/>
    <w:rsid w:val="005C53E5"/>
    <w:rsid w:val="005C5758"/>
    <w:rsid w:val="005C588C"/>
    <w:rsid w:val="005C5A01"/>
    <w:rsid w:val="005C6425"/>
    <w:rsid w:val="005C671C"/>
    <w:rsid w:val="005C6A3F"/>
    <w:rsid w:val="005C7123"/>
    <w:rsid w:val="005C712D"/>
    <w:rsid w:val="005C72BE"/>
    <w:rsid w:val="005C791F"/>
    <w:rsid w:val="005C7C75"/>
    <w:rsid w:val="005C7D03"/>
    <w:rsid w:val="005C7E00"/>
    <w:rsid w:val="005D0035"/>
    <w:rsid w:val="005D0E4F"/>
    <w:rsid w:val="005D0F61"/>
    <w:rsid w:val="005D14D0"/>
    <w:rsid w:val="005D15D0"/>
    <w:rsid w:val="005D1E32"/>
    <w:rsid w:val="005D206B"/>
    <w:rsid w:val="005D22B7"/>
    <w:rsid w:val="005D2973"/>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8B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5F7F75"/>
    <w:rsid w:val="006002C7"/>
    <w:rsid w:val="0060088E"/>
    <w:rsid w:val="0060099D"/>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67A7"/>
    <w:rsid w:val="00616BC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59D"/>
    <w:rsid w:val="00657A5B"/>
    <w:rsid w:val="00657D5A"/>
    <w:rsid w:val="00657E0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47A"/>
    <w:rsid w:val="0068051F"/>
    <w:rsid w:val="006806A3"/>
    <w:rsid w:val="006806A6"/>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EE"/>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42B5"/>
    <w:rsid w:val="006B4CBA"/>
    <w:rsid w:val="006B4E72"/>
    <w:rsid w:val="006B555A"/>
    <w:rsid w:val="006B556B"/>
    <w:rsid w:val="006B5D14"/>
    <w:rsid w:val="006B600A"/>
    <w:rsid w:val="006B6635"/>
    <w:rsid w:val="006B6D39"/>
    <w:rsid w:val="006B78FD"/>
    <w:rsid w:val="006B7D22"/>
    <w:rsid w:val="006B7D2C"/>
    <w:rsid w:val="006C1019"/>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1A6"/>
    <w:rsid w:val="006E346F"/>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A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3E3D"/>
    <w:rsid w:val="00744276"/>
    <w:rsid w:val="00744374"/>
    <w:rsid w:val="00744A64"/>
    <w:rsid w:val="00744D47"/>
    <w:rsid w:val="00744EA0"/>
    <w:rsid w:val="0074515C"/>
    <w:rsid w:val="00745494"/>
    <w:rsid w:val="007455D7"/>
    <w:rsid w:val="00745D2E"/>
    <w:rsid w:val="00745F95"/>
    <w:rsid w:val="007461B0"/>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DB1"/>
    <w:rsid w:val="00756583"/>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747"/>
    <w:rsid w:val="00761CAA"/>
    <w:rsid w:val="00761DBC"/>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704A0"/>
    <w:rsid w:val="00770636"/>
    <w:rsid w:val="00770711"/>
    <w:rsid w:val="0077148D"/>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9C8"/>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A42"/>
    <w:rsid w:val="007D4C00"/>
    <w:rsid w:val="007D4C6B"/>
    <w:rsid w:val="007D4D33"/>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5778"/>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6F6"/>
    <w:rsid w:val="00837D5B"/>
    <w:rsid w:val="00837EAB"/>
    <w:rsid w:val="00837FD6"/>
    <w:rsid w:val="00840460"/>
    <w:rsid w:val="00840607"/>
    <w:rsid w:val="00840817"/>
    <w:rsid w:val="00840970"/>
    <w:rsid w:val="00840D42"/>
    <w:rsid w:val="00841CD2"/>
    <w:rsid w:val="008420FF"/>
    <w:rsid w:val="00842220"/>
    <w:rsid w:val="00842910"/>
    <w:rsid w:val="00842913"/>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6F5"/>
    <w:rsid w:val="008619CF"/>
    <w:rsid w:val="00861F73"/>
    <w:rsid w:val="00862022"/>
    <w:rsid w:val="0086269A"/>
    <w:rsid w:val="0086275E"/>
    <w:rsid w:val="008629CB"/>
    <w:rsid w:val="00862C45"/>
    <w:rsid w:val="00862CEB"/>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5F81"/>
    <w:rsid w:val="0088718A"/>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97FF8"/>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E60"/>
    <w:rsid w:val="008B5299"/>
    <w:rsid w:val="008B56CC"/>
    <w:rsid w:val="008B5A5F"/>
    <w:rsid w:val="008B5AB0"/>
    <w:rsid w:val="008B6054"/>
    <w:rsid w:val="008B607D"/>
    <w:rsid w:val="008B610D"/>
    <w:rsid w:val="008B614C"/>
    <w:rsid w:val="008B694E"/>
    <w:rsid w:val="008B6CF3"/>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AD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37BBB"/>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E66"/>
    <w:rsid w:val="00952330"/>
    <w:rsid w:val="00952E34"/>
    <w:rsid w:val="0095308B"/>
    <w:rsid w:val="009530BF"/>
    <w:rsid w:val="009531A5"/>
    <w:rsid w:val="0095364F"/>
    <w:rsid w:val="0095380C"/>
    <w:rsid w:val="00953B84"/>
    <w:rsid w:val="00953CB2"/>
    <w:rsid w:val="00953D92"/>
    <w:rsid w:val="009540D8"/>
    <w:rsid w:val="009540FE"/>
    <w:rsid w:val="00954293"/>
    <w:rsid w:val="00954353"/>
    <w:rsid w:val="009543E9"/>
    <w:rsid w:val="0095448E"/>
    <w:rsid w:val="009547C8"/>
    <w:rsid w:val="00954D4D"/>
    <w:rsid w:val="009557EC"/>
    <w:rsid w:val="00955814"/>
    <w:rsid w:val="00955982"/>
    <w:rsid w:val="00955B30"/>
    <w:rsid w:val="00955C0A"/>
    <w:rsid w:val="00955C4F"/>
    <w:rsid w:val="00955DB4"/>
    <w:rsid w:val="00957322"/>
    <w:rsid w:val="009577BD"/>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3FD8"/>
    <w:rsid w:val="009742D3"/>
    <w:rsid w:val="0097461B"/>
    <w:rsid w:val="0097475E"/>
    <w:rsid w:val="00974849"/>
    <w:rsid w:val="00974A1F"/>
    <w:rsid w:val="00974BAA"/>
    <w:rsid w:val="00974D4B"/>
    <w:rsid w:val="00975199"/>
    <w:rsid w:val="009756E0"/>
    <w:rsid w:val="00975EB1"/>
    <w:rsid w:val="009762E7"/>
    <w:rsid w:val="00976BD0"/>
    <w:rsid w:val="00977489"/>
    <w:rsid w:val="009779A2"/>
    <w:rsid w:val="00977BA7"/>
    <w:rsid w:val="009801EE"/>
    <w:rsid w:val="009810F6"/>
    <w:rsid w:val="009813ED"/>
    <w:rsid w:val="009816B1"/>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33D"/>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2CC4"/>
    <w:rsid w:val="0099307F"/>
    <w:rsid w:val="0099353A"/>
    <w:rsid w:val="0099359F"/>
    <w:rsid w:val="009944FD"/>
    <w:rsid w:val="00994871"/>
    <w:rsid w:val="00994E08"/>
    <w:rsid w:val="009950D8"/>
    <w:rsid w:val="009951F9"/>
    <w:rsid w:val="009955B7"/>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F8A"/>
    <w:rsid w:val="009A505F"/>
    <w:rsid w:val="009A5126"/>
    <w:rsid w:val="009A532E"/>
    <w:rsid w:val="009A5753"/>
    <w:rsid w:val="009A609D"/>
    <w:rsid w:val="009A6A6B"/>
    <w:rsid w:val="009A791C"/>
    <w:rsid w:val="009A7A2A"/>
    <w:rsid w:val="009B0C11"/>
    <w:rsid w:val="009B16C3"/>
    <w:rsid w:val="009B1E81"/>
    <w:rsid w:val="009B1EF9"/>
    <w:rsid w:val="009B1F0A"/>
    <w:rsid w:val="009B2090"/>
    <w:rsid w:val="009B26AC"/>
    <w:rsid w:val="009B29F4"/>
    <w:rsid w:val="009B2A77"/>
    <w:rsid w:val="009B2E79"/>
    <w:rsid w:val="009B37E2"/>
    <w:rsid w:val="009B3A41"/>
    <w:rsid w:val="009B3D48"/>
    <w:rsid w:val="009B4519"/>
    <w:rsid w:val="009B461E"/>
    <w:rsid w:val="009B4BD3"/>
    <w:rsid w:val="009B506B"/>
    <w:rsid w:val="009B5111"/>
    <w:rsid w:val="009B54C2"/>
    <w:rsid w:val="009B55AB"/>
    <w:rsid w:val="009B57EF"/>
    <w:rsid w:val="009B5B85"/>
    <w:rsid w:val="009B5DCA"/>
    <w:rsid w:val="009B5E83"/>
    <w:rsid w:val="009B6230"/>
    <w:rsid w:val="009B6298"/>
    <w:rsid w:val="009B704F"/>
    <w:rsid w:val="009B7204"/>
    <w:rsid w:val="009B746C"/>
    <w:rsid w:val="009B7820"/>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6B1"/>
    <w:rsid w:val="009C4B5D"/>
    <w:rsid w:val="009C4BC2"/>
    <w:rsid w:val="009C4D22"/>
    <w:rsid w:val="009C512E"/>
    <w:rsid w:val="009C5976"/>
    <w:rsid w:val="009C59E1"/>
    <w:rsid w:val="009C6348"/>
    <w:rsid w:val="009C6A6B"/>
    <w:rsid w:val="009C6CA1"/>
    <w:rsid w:val="009C7320"/>
    <w:rsid w:val="009C7AED"/>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A3D"/>
    <w:rsid w:val="009D4C02"/>
    <w:rsid w:val="009D4EA2"/>
    <w:rsid w:val="009D50F4"/>
    <w:rsid w:val="009D55B6"/>
    <w:rsid w:val="009D57C9"/>
    <w:rsid w:val="009D5BAB"/>
    <w:rsid w:val="009D6A0A"/>
    <w:rsid w:val="009D7432"/>
    <w:rsid w:val="009D77B0"/>
    <w:rsid w:val="009D7D35"/>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C60"/>
    <w:rsid w:val="009E5C9E"/>
    <w:rsid w:val="009E6144"/>
    <w:rsid w:val="009E64DB"/>
    <w:rsid w:val="009E6794"/>
    <w:rsid w:val="009E7189"/>
    <w:rsid w:val="009E7E46"/>
    <w:rsid w:val="009E7FC1"/>
    <w:rsid w:val="009F005D"/>
    <w:rsid w:val="009F01E1"/>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651"/>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9FE"/>
    <w:rsid w:val="00A33172"/>
    <w:rsid w:val="00A3353A"/>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1D85"/>
    <w:rsid w:val="00AA200A"/>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9FF"/>
    <w:rsid w:val="00AF3DBB"/>
    <w:rsid w:val="00AF3FAF"/>
    <w:rsid w:val="00AF4205"/>
    <w:rsid w:val="00AF4588"/>
    <w:rsid w:val="00AF4739"/>
    <w:rsid w:val="00AF5194"/>
    <w:rsid w:val="00AF53EF"/>
    <w:rsid w:val="00AF58E4"/>
    <w:rsid w:val="00AF5EFD"/>
    <w:rsid w:val="00AF6195"/>
    <w:rsid w:val="00AF65AE"/>
    <w:rsid w:val="00AF6BA2"/>
    <w:rsid w:val="00AF6FDB"/>
    <w:rsid w:val="00AF73C3"/>
    <w:rsid w:val="00AF795C"/>
    <w:rsid w:val="00AF7A0F"/>
    <w:rsid w:val="00AF7CBC"/>
    <w:rsid w:val="00B000C4"/>
    <w:rsid w:val="00B002F0"/>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768"/>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C8C"/>
    <w:rsid w:val="00B253D9"/>
    <w:rsid w:val="00B25762"/>
    <w:rsid w:val="00B25A92"/>
    <w:rsid w:val="00B25B40"/>
    <w:rsid w:val="00B25BCD"/>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C0B"/>
    <w:rsid w:val="00B71DC8"/>
    <w:rsid w:val="00B721E5"/>
    <w:rsid w:val="00B7222E"/>
    <w:rsid w:val="00B722BE"/>
    <w:rsid w:val="00B723CC"/>
    <w:rsid w:val="00B7307D"/>
    <w:rsid w:val="00B73876"/>
    <w:rsid w:val="00B74251"/>
    <w:rsid w:val="00B7431E"/>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FD2"/>
    <w:rsid w:val="00B93204"/>
    <w:rsid w:val="00B932B6"/>
    <w:rsid w:val="00B93FBE"/>
    <w:rsid w:val="00B9455B"/>
    <w:rsid w:val="00B948B4"/>
    <w:rsid w:val="00B949B7"/>
    <w:rsid w:val="00B94A6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F56"/>
    <w:rsid w:val="00BA2FEF"/>
    <w:rsid w:val="00BA3034"/>
    <w:rsid w:val="00BA33A2"/>
    <w:rsid w:val="00BA33B5"/>
    <w:rsid w:val="00BA3909"/>
    <w:rsid w:val="00BA3D1D"/>
    <w:rsid w:val="00BA41C3"/>
    <w:rsid w:val="00BA46D4"/>
    <w:rsid w:val="00BA4809"/>
    <w:rsid w:val="00BA5769"/>
    <w:rsid w:val="00BA6527"/>
    <w:rsid w:val="00BA75A3"/>
    <w:rsid w:val="00BA76DE"/>
    <w:rsid w:val="00BA78F0"/>
    <w:rsid w:val="00BA7ACD"/>
    <w:rsid w:val="00BA7B1B"/>
    <w:rsid w:val="00BB0067"/>
    <w:rsid w:val="00BB055D"/>
    <w:rsid w:val="00BB0663"/>
    <w:rsid w:val="00BB1463"/>
    <w:rsid w:val="00BB1548"/>
    <w:rsid w:val="00BB164F"/>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1EB"/>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63B"/>
    <w:rsid w:val="00BC5C4C"/>
    <w:rsid w:val="00BC6164"/>
    <w:rsid w:val="00BC6AA1"/>
    <w:rsid w:val="00BC6F3D"/>
    <w:rsid w:val="00BC6FD6"/>
    <w:rsid w:val="00BC7251"/>
    <w:rsid w:val="00BC7B85"/>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50AA"/>
    <w:rsid w:val="00BD5135"/>
    <w:rsid w:val="00BD521A"/>
    <w:rsid w:val="00BD5C52"/>
    <w:rsid w:val="00BD61DB"/>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72D6"/>
    <w:rsid w:val="00BE74AB"/>
    <w:rsid w:val="00BE7C4D"/>
    <w:rsid w:val="00BE7F6A"/>
    <w:rsid w:val="00BF0274"/>
    <w:rsid w:val="00BF04BC"/>
    <w:rsid w:val="00BF08C4"/>
    <w:rsid w:val="00BF0BAF"/>
    <w:rsid w:val="00BF0D12"/>
    <w:rsid w:val="00BF1175"/>
    <w:rsid w:val="00BF11FB"/>
    <w:rsid w:val="00BF19CE"/>
    <w:rsid w:val="00BF1EB4"/>
    <w:rsid w:val="00BF1F04"/>
    <w:rsid w:val="00BF2B6F"/>
    <w:rsid w:val="00BF2F19"/>
    <w:rsid w:val="00BF34B8"/>
    <w:rsid w:val="00BF351A"/>
    <w:rsid w:val="00BF3914"/>
    <w:rsid w:val="00BF3A34"/>
    <w:rsid w:val="00BF3C0D"/>
    <w:rsid w:val="00BF3F3B"/>
    <w:rsid w:val="00BF4221"/>
    <w:rsid w:val="00BF49B1"/>
    <w:rsid w:val="00BF4C98"/>
    <w:rsid w:val="00BF50BA"/>
    <w:rsid w:val="00BF514C"/>
    <w:rsid w:val="00BF5552"/>
    <w:rsid w:val="00BF585F"/>
    <w:rsid w:val="00BF5928"/>
    <w:rsid w:val="00BF59B5"/>
    <w:rsid w:val="00BF5AEC"/>
    <w:rsid w:val="00BF5CAC"/>
    <w:rsid w:val="00BF5E90"/>
    <w:rsid w:val="00BF69DF"/>
    <w:rsid w:val="00BF6AF8"/>
    <w:rsid w:val="00BF6FE3"/>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AB2"/>
    <w:rsid w:val="00C315DC"/>
    <w:rsid w:val="00C31678"/>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A0"/>
    <w:rsid w:val="00C654E0"/>
    <w:rsid w:val="00C65E70"/>
    <w:rsid w:val="00C661AE"/>
    <w:rsid w:val="00C667D0"/>
    <w:rsid w:val="00C66DAF"/>
    <w:rsid w:val="00C66E4B"/>
    <w:rsid w:val="00C66F23"/>
    <w:rsid w:val="00C67700"/>
    <w:rsid w:val="00C6775C"/>
    <w:rsid w:val="00C67EAB"/>
    <w:rsid w:val="00C67FA1"/>
    <w:rsid w:val="00C70065"/>
    <w:rsid w:val="00C7074B"/>
    <w:rsid w:val="00C70DFF"/>
    <w:rsid w:val="00C71271"/>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E64"/>
    <w:rsid w:val="00C9554F"/>
    <w:rsid w:val="00C955A4"/>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45B"/>
    <w:rsid w:val="00CA294F"/>
    <w:rsid w:val="00CA3236"/>
    <w:rsid w:val="00CA396C"/>
    <w:rsid w:val="00CA3A72"/>
    <w:rsid w:val="00CA3ADA"/>
    <w:rsid w:val="00CA3CDD"/>
    <w:rsid w:val="00CA403B"/>
    <w:rsid w:val="00CA4792"/>
    <w:rsid w:val="00CA505A"/>
    <w:rsid w:val="00CA512C"/>
    <w:rsid w:val="00CA54C6"/>
    <w:rsid w:val="00CA5822"/>
    <w:rsid w:val="00CA5858"/>
    <w:rsid w:val="00CA59DD"/>
    <w:rsid w:val="00CA633D"/>
    <w:rsid w:val="00CA685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EA"/>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769"/>
    <w:rsid w:val="00CE3F86"/>
    <w:rsid w:val="00CE40F5"/>
    <w:rsid w:val="00CE43C8"/>
    <w:rsid w:val="00CE446F"/>
    <w:rsid w:val="00CE46E5"/>
    <w:rsid w:val="00CE485A"/>
    <w:rsid w:val="00CE5279"/>
    <w:rsid w:val="00CE594C"/>
    <w:rsid w:val="00CE5A78"/>
    <w:rsid w:val="00CE5B53"/>
    <w:rsid w:val="00CE61FE"/>
    <w:rsid w:val="00CE627F"/>
    <w:rsid w:val="00CE6429"/>
    <w:rsid w:val="00CE6C56"/>
    <w:rsid w:val="00CE6F06"/>
    <w:rsid w:val="00CE7282"/>
    <w:rsid w:val="00CE7408"/>
    <w:rsid w:val="00CE78AE"/>
    <w:rsid w:val="00CE7D04"/>
    <w:rsid w:val="00CE7E62"/>
    <w:rsid w:val="00CE7FCC"/>
    <w:rsid w:val="00CF0683"/>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620A"/>
    <w:rsid w:val="00D164C3"/>
    <w:rsid w:val="00D16B48"/>
    <w:rsid w:val="00D16E87"/>
    <w:rsid w:val="00D173F6"/>
    <w:rsid w:val="00D174CC"/>
    <w:rsid w:val="00D174E9"/>
    <w:rsid w:val="00D176D9"/>
    <w:rsid w:val="00D17B86"/>
    <w:rsid w:val="00D17C48"/>
    <w:rsid w:val="00D203B8"/>
    <w:rsid w:val="00D2067C"/>
    <w:rsid w:val="00D208D9"/>
    <w:rsid w:val="00D20B8B"/>
    <w:rsid w:val="00D20C20"/>
    <w:rsid w:val="00D20E14"/>
    <w:rsid w:val="00D210F0"/>
    <w:rsid w:val="00D2140E"/>
    <w:rsid w:val="00D2162C"/>
    <w:rsid w:val="00D21A3C"/>
    <w:rsid w:val="00D21A6B"/>
    <w:rsid w:val="00D21B96"/>
    <w:rsid w:val="00D21DD2"/>
    <w:rsid w:val="00D222CD"/>
    <w:rsid w:val="00D22847"/>
    <w:rsid w:val="00D22B39"/>
    <w:rsid w:val="00D230C9"/>
    <w:rsid w:val="00D233F1"/>
    <w:rsid w:val="00D236E4"/>
    <w:rsid w:val="00D23FF7"/>
    <w:rsid w:val="00D243D4"/>
    <w:rsid w:val="00D2455E"/>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A96"/>
    <w:rsid w:val="00D35BD0"/>
    <w:rsid w:val="00D36234"/>
    <w:rsid w:val="00D36371"/>
    <w:rsid w:val="00D365A0"/>
    <w:rsid w:val="00D3710C"/>
    <w:rsid w:val="00D379AB"/>
    <w:rsid w:val="00D37C47"/>
    <w:rsid w:val="00D37E19"/>
    <w:rsid w:val="00D401AB"/>
    <w:rsid w:val="00D40262"/>
    <w:rsid w:val="00D405B3"/>
    <w:rsid w:val="00D40BE1"/>
    <w:rsid w:val="00D40D05"/>
    <w:rsid w:val="00D41629"/>
    <w:rsid w:val="00D41AA1"/>
    <w:rsid w:val="00D41B28"/>
    <w:rsid w:val="00D42333"/>
    <w:rsid w:val="00D423F3"/>
    <w:rsid w:val="00D42730"/>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891"/>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7"/>
    <w:rsid w:val="00D63B75"/>
    <w:rsid w:val="00D63F33"/>
    <w:rsid w:val="00D640E7"/>
    <w:rsid w:val="00D64F80"/>
    <w:rsid w:val="00D650A8"/>
    <w:rsid w:val="00D651B6"/>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6D5C"/>
    <w:rsid w:val="00D86FBA"/>
    <w:rsid w:val="00D87175"/>
    <w:rsid w:val="00D87321"/>
    <w:rsid w:val="00D87ABF"/>
    <w:rsid w:val="00D87AE2"/>
    <w:rsid w:val="00D90C0E"/>
    <w:rsid w:val="00D90CD3"/>
    <w:rsid w:val="00D91374"/>
    <w:rsid w:val="00D91482"/>
    <w:rsid w:val="00D91749"/>
    <w:rsid w:val="00D919E6"/>
    <w:rsid w:val="00D91BE1"/>
    <w:rsid w:val="00D91E07"/>
    <w:rsid w:val="00D92093"/>
    <w:rsid w:val="00D92222"/>
    <w:rsid w:val="00D92C29"/>
    <w:rsid w:val="00D936E2"/>
    <w:rsid w:val="00D93763"/>
    <w:rsid w:val="00D93B2F"/>
    <w:rsid w:val="00D93E9D"/>
    <w:rsid w:val="00D943DE"/>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AB6"/>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93F"/>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672"/>
    <w:rsid w:val="00DC5E07"/>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884"/>
    <w:rsid w:val="00DD2A7E"/>
    <w:rsid w:val="00DD30D1"/>
    <w:rsid w:val="00DD352D"/>
    <w:rsid w:val="00DD397D"/>
    <w:rsid w:val="00DD3EF5"/>
    <w:rsid w:val="00DD3FAA"/>
    <w:rsid w:val="00DD44D3"/>
    <w:rsid w:val="00DD458A"/>
    <w:rsid w:val="00DD45C1"/>
    <w:rsid w:val="00DD45F2"/>
    <w:rsid w:val="00DD50AC"/>
    <w:rsid w:val="00DD53FA"/>
    <w:rsid w:val="00DD5D41"/>
    <w:rsid w:val="00DD5F42"/>
    <w:rsid w:val="00DD60B6"/>
    <w:rsid w:val="00DD617B"/>
    <w:rsid w:val="00DD67A1"/>
    <w:rsid w:val="00DD6A8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12F"/>
    <w:rsid w:val="00E002F1"/>
    <w:rsid w:val="00E0082C"/>
    <w:rsid w:val="00E009BA"/>
    <w:rsid w:val="00E010BB"/>
    <w:rsid w:val="00E01427"/>
    <w:rsid w:val="00E0181B"/>
    <w:rsid w:val="00E01DAA"/>
    <w:rsid w:val="00E023E5"/>
    <w:rsid w:val="00E02432"/>
    <w:rsid w:val="00E024E1"/>
    <w:rsid w:val="00E02A6E"/>
    <w:rsid w:val="00E02CBA"/>
    <w:rsid w:val="00E02EFD"/>
    <w:rsid w:val="00E04022"/>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561"/>
    <w:rsid w:val="00E429ED"/>
    <w:rsid w:val="00E42B69"/>
    <w:rsid w:val="00E42FBD"/>
    <w:rsid w:val="00E43325"/>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481"/>
    <w:rsid w:val="00E76A12"/>
    <w:rsid w:val="00E76DAC"/>
    <w:rsid w:val="00E777A6"/>
    <w:rsid w:val="00E77829"/>
    <w:rsid w:val="00E7782F"/>
    <w:rsid w:val="00E77848"/>
    <w:rsid w:val="00E77AB9"/>
    <w:rsid w:val="00E80514"/>
    <w:rsid w:val="00E80E5B"/>
    <w:rsid w:val="00E810C5"/>
    <w:rsid w:val="00E816C5"/>
    <w:rsid w:val="00E81CD4"/>
    <w:rsid w:val="00E81CE0"/>
    <w:rsid w:val="00E81E7C"/>
    <w:rsid w:val="00E81FFF"/>
    <w:rsid w:val="00E8224D"/>
    <w:rsid w:val="00E828D1"/>
    <w:rsid w:val="00E82960"/>
    <w:rsid w:val="00E83756"/>
    <w:rsid w:val="00E8419E"/>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C069D"/>
    <w:rsid w:val="00EC0985"/>
    <w:rsid w:val="00EC1198"/>
    <w:rsid w:val="00EC1F5E"/>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71C5"/>
    <w:rsid w:val="00ED7BF3"/>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0A58"/>
    <w:rsid w:val="00F00BC4"/>
    <w:rsid w:val="00F011B0"/>
    <w:rsid w:val="00F017DD"/>
    <w:rsid w:val="00F0199F"/>
    <w:rsid w:val="00F01A6A"/>
    <w:rsid w:val="00F0206A"/>
    <w:rsid w:val="00F0247E"/>
    <w:rsid w:val="00F027BA"/>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B3"/>
    <w:rsid w:val="00F43AD7"/>
    <w:rsid w:val="00F43E26"/>
    <w:rsid w:val="00F442B8"/>
    <w:rsid w:val="00F444DA"/>
    <w:rsid w:val="00F44B2F"/>
    <w:rsid w:val="00F44CE3"/>
    <w:rsid w:val="00F44EC5"/>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BF4"/>
    <w:rsid w:val="00F53BFB"/>
    <w:rsid w:val="00F54266"/>
    <w:rsid w:val="00F54CE5"/>
    <w:rsid w:val="00F55043"/>
    <w:rsid w:val="00F55A2F"/>
    <w:rsid w:val="00F55BE7"/>
    <w:rsid w:val="00F55C77"/>
    <w:rsid w:val="00F56032"/>
    <w:rsid w:val="00F5617C"/>
    <w:rsid w:val="00F5645E"/>
    <w:rsid w:val="00F56DCF"/>
    <w:rsid w:val="00F56E7D"/>
    <w:rsid w:val="00F57034"/>
    <w:rsid w:val="00F57992"/>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FE7"/>
    <w:rsid w:val="00F7232A"/>
    <w:rsid w:val="00F72584"/>
    <w:rsid w:val="00F7290D"/>
    <w:rsid w:val="00F72997"/>
    <w:rsid w:val="00F729C7"/>
    <w:rsid w:val="00F729E1"/>
    <w:rsid w:val="00F7302F"/>
    <w:rsid w:val="00F73050"/>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32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6249"/>
    <w:rsid w:val="00F96435"/>
    <w:rsid w:val="00F9649D"/>
    <w:rsid w:val="00F970AF"/>
    <w:rsid w:val="00F970D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D66"/>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33DC"/>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3DB"/>
    <w:rsid w:val="00FC5BE0"/>
    <w:rsid w:val="00FC5FC2"/>
    <w:rsid w:val="00FC6177"/>
    <w:rsid w:val="00FC63D1"/>
    <w:rsid w:val="00FC642B"/>
    <w:rsid w:val="00FC64B8"/>
    <w:rsid w:val="00FC6690"/>
    <w:rsid w:val="00FC6B78"/>
    <w:rsid w:val="00FC6C53"/>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522"/>
    <w:rsid w:val="00FD2D7B"/>
    <w:rsid w:val="00FD3291"/>
    <w:rsid w:val="00FD3780"/>
    <w:rsid w:val="00FD37F6"/>
    <w:rsid w:val="00FD39E0"/>
    <w:rsid w:val="00FD4589"/>
    <w:rsid w:val="00FD46DF"/>
    <w:rsid w:val="00FD473E"/>
    <w:rsid w:val="00FD487C"/>
    <w:rsid w:val="00FD548D"/>
    <w:rsid w:val="00FD557B"/>
    <w:rsid w:val="00FD59E0"/>
    <w:rsid w:val="00FD5A61"/>
    <w:rsid w:val="00FD5F6D"/>
    <w:rsid w:val="00FD6279"/>
    <w:rsid w:val="00FD66BB"/>
    <w:rsid w:val="00FD683A"/>
    <w:rsid w:val="00FD69A9"/>
    <w:rsid w:val="00FD7A5E"/>
    <w:rsid w:val="00FD7DD0"/>
    <w:rsid w:val="00FD7DF9"/>
    <w:rsid w:val="00FE0478"/>
    <w:rsid w:val="00FE0B51"/>
    <w:rsid w:val="00FE0B78"/>
    <w:rsid w:val="00FE0BB6"/>
    <w:rsid w:val="00FE0D8D"/>
    <w:rsid w:val="00FE0ED4"/>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3C8B8902-A51E-494D-8793-D74B2F61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character" w:customStyle="1" w:styleId="B2Char">
    <w:name w:val="B2 Char"/>
    <w:link w:val="B2"/>
    <w:locked/>
    <w:rsid w:val="00885F81"/>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4526693">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000A6A-39D1-46A4-B51B-4D0F7368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2657</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6</cp:revision>
  <cp:lastPrinted>2016-05-14T21:14:00Z</cp:lastPrinted>
  <dcterms:created xsi:type="dcterms:W3CDTF">2021-11-05T22:46:00Z</dcterms:created>
  <dcterms:modified xsi:type="dcterms:W3CDTF">2021-11-05T23:30:00Z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